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74FC" w14:textId="7AAC6452" w:rsidR="006A7F35" w:rsidRPr="00C16208" w:rsidRDefault="00EB0017" w:rsidP="00911751">
      <w:pPr>
        <w:rPr>
          <w:rFonts w:ascii="Apercu" w:hAnsi="Apercu"/>
          <w:sz w:val="28"/>
          <w:szCs w:val="28"/>
        </w:rPr>
      </w:pPr>
      <w:r w:rsidRPr="00C16208">
        <w:rPr>
          <w:rFonts w:ascii="Apercu" w:hAnsi="Apercu"/>
          <w:b/>
          <w:bCs/>
          <w:color w:val="000000"/>
          <w:sz w:val="28"/>
          <w:szCs w:val="28"/>
        </w:rPr>
        <w:t>Invitation to Express Interest:</w:t>
      </w:r>
      <w:r w:rsidR="00911751" w:rsidRPr="00C16208">
        <w:rPr>
          <w:rFonts w:ascii="Apercu" w:hAnsi="Apercu"/>
          <w:sz w:val="28"/>
          <w:szCs w:val="28"/>
        </w:rPr>
        <w:t xml:space="preserve"> </w:t>
      </w:r>
      <w:r w:rsidRPr="00C16208">
        <w:rPr>
          <w:rFonts w:ascii="Apercu" w:hAnsi="Apercu"/>
          <w:b/>
          <w:bCs/>
          <w:color w:val="000000"/>
          <w:sz w:val="28"/>
          <w:szCs w:val="28"/>
        </w:rPr>
        <w:t>Clinical Adviser Function</w:t>
      </w:r>
    </w:p>
    <w:p w14:paraId="5636B253" w14:textId="7539ADC7" w:rsidR="006A7F35" w:rsidRPr="00C16208" w:rsidRDefault="00EB0017">
      <w:pPr>
        <w:spacing w:before="200" w:after="180"/>
        <w:rPr>
          <w:rFonts w:ascii="Apercu Light" w:hAnsi="Apercu Light"/>
        </w:rPr>
      </w:pPr>
      <w:r w:rsidRPr="00C16208">
        <w:rPr>
          <w:rFonts w:ascii="Apercu Light" w:hAnsi="Apercu Light"/>
          <w:i/>
          <w:iCs/>
          <w:color w:val="000000"/>
        </w:rPr>
        <w:t xml:space="preserve">Open to organisations and </w:t>
      </w:r>
      <w:proofErr w:type="gramStart"/>
      <w:r w:rsidRPr="00C16208">
        <w:rPr>
          <w:rFonts w:ascii="Apercu Light" w:hAnsi="Apercu Light"/>
          <w:i/>
          <w:iCs/>
          <w:color w:val="000000"/>
        </w:rPr>
        <w:t>individuals  |</w:t>
      </w:r>
      <w:proofErr w:type="gramEnd"/>
      <w:r w:rsidRPr="00C16208">
        <w:rPr>
          <w:rFonts w:ascii="Apercu Light" w:hAnsi="Apercu Light"/>
          <w:i/>
          <w:iCs/>
          <w:color w:val="000000"/>
        </w:rPr>
        <w:t xml:space="preserve">  Expressions of interest invited by </w:t>
      </w:r>
      <w:r w:rsidR="00E67932">
        <w:rPr>
          <w:rFonts w:ascii="Apercu Light" w:hAnsi="Apercu Light"/>
          <w:i/>
          <w:iCs/>
          <w:color w:val="000000"/>
        </w:rPr>
        <w:t>5pm 26 June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6A7F35" w:rsidRPr="00C16208" w14:paraId="3E0261C7"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0B63FEA2" w14:textId="77777777" w:rsidR="006A7F35" w:rsidRPr="00C16208" w:rsidRDefault="00EB0017">
            <w:pPr>
              <w:spacing w:before="40" w:after="40"/>
              <w:rPr>
                <w:rFonts w:ascii="Apercu Light" w:hAnsi="Apercu Light"/>
              </w:rPr>
            </w:pPr>
            <w:r w:rsidRPr="00C16208">
              <w:rPr>
                <w:rFonts w:ascii="Apercu Light" w:hAnsi="Apercu Light"/>
                <w:b/>
                <w:bCs/>
                <w:color w:val="000000"/>
              </w:rPr>
              <w:t>Opportunity</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162C5695" w14:textId="77777777" w:rsidR="006A7F35" w:rsidRPr="00C16208" w:rsidRDefault="00EB0017">
            <w:pPr>
              <w:spacing w:before="40" w:after="40"/>
              <w:rPr>
                <w:rFonts w:ascii="Apercu Light" w:hAnsi="Apercu Light"/>
              </w:rPr>
            </w:pPr>
            <w:r w:rsidRPr="00C16208">
              <w:rPr>
                <w:rFonts w:ascii="Apercu Light" w:hAnsi="Apercu Light"/>
                <w:color w:val="000000"/>
              </w:rPr>
              <w:t>Clinical Adviser Function</w:t>
            </w:r>
          </w:p>
        </w:tc>
      </w:tr>
      <w:tr w:rsidR="006A7F35" w:rsidRPr="00C16208" w14:paraId="4D707BF1"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7C6DEC5A" w14:textId="77777777" w:rsidR="006A7F35" w:rsidRPr="00C16208" w:rsidRDefault="00EB0017">
            <w:pPr>
              <w:spacing w:before="40" w:after="40"/>
              <w:rPr>
                <w:rFonts w:ascii="Apercu Light" w:hAnsi="Apercu Light"/>
              </w:rPr>
            </w:pPr>
            <w:r w:rsidRPr="00C16208">
              <w:rPr>
                <w:rFonts w:ascii="Apercu Light" w:hAnsi="Apercu Light"/>
                <w:b/>
                <w:bCs/>
                <w:color w:val="000000"/>
              </w:rPr>
              <w:t>Organisation</w:t>
            </w:r>
          </w:p>
        </w:tc>
        <w:tc>
          <w:tcPr>
            <w:tcW w:w="6426" w:type="dxa"/>
            <w:tcBorders>
              <w:top w:val="single" w:sz="1" w:space="0" w:color="000000"/>
              <w:left w:val="single" w:sz="1" w:space="0" w:color="000000"/>
              <w:bottom w:val="single" w:sz="1" w:space="0" w:color="000000"/>
              <w:right w:val="single" w:sz="1" w:space="0" w:color="000000"/>
            </w:tcBorders>
            <w:shd w:val="clear" w:color="auto" w:fill="FFFFFF"/>
            <w:tcMar>
              <w:top w:w="80" w:type="dxa"/>
              <w:left w:w="140" w:type="dxa"/>
              <w:bottom w:w="80" w:type="dxa"/>
              <w:right w:w="140" w:type="dxa"/>
            </w:tcMar>
          </w:tcPr>
          <w:p w14:paraId="20112977" w14:textId="77777777" w:rsidR="006A7F35" w:rsidRPr="00C16208" w:rsidRDefault="00EB0017">
            <w:pPr>
              <w:spacing w:before="40" w:after="40"/>
              <w:rPr>
                <w:rFonts w:ascii="Apercu Light" w:hAnsi="Apercu Light"/>
              </w:rPr>
            </w:pPr>
            <w:r w:rsidRPr="00C16208">
              <w:rPr>
                <w:rFonts w:ascii="Apercu Light" w:hAnsi="Apercu Light"/>
                <w:color w:val="000000"/>
              </w:rPr>
              <w:t>Music Minds Matter (Charity No. 1199795)</w:t>
            </w:r>
          </w:p>
        </w:tc>
      </w:tr>
      <w:tr w:rsidR="006A7F35" w:rsidRPr="00C16208" w14:paraId="09E74EBD"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6F4FB1DA" w14:textId="77777777" w:rsidR="006A7F35" w:rsidRPr="00C16208" w:rsidRDefault="00EB0017">
            <w:pPr>
              <w:spacing w:before="40" w:after="40"/>
              <w:rPr>
                <w:rFonts w:ascii="Apercu Light" w:hAnsi="Apercu Light"/>
              </w:rPr>
            </w:pPr>
            <w:r w:rsidRPr="00C16208">
              <w:rPr>
                <w:rFonts w:ascii="Apercu Light" w:hAnsi="Apercu Light"/>
                <w:b/>
                <w:bCs/>
                <w:color w:val="000000"/>
              </w:rPr>
              <w:t>Accountable to</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5F66E836" w14:textId="77777777" w:rsidR="006A7F35" w:rsidRPr="00C16208" w:rsidRDefault="00EB0017">
            <w:pPr>
              <w:spacing w:before="40" w:after="40"/>
              <w:rPr>
                <w:rFonts w:ascii="Apercu Light" w:hAnsi="Apercu Light"/>
              </w:rPr>
            </w:pPr>
            <w:r w:rsidRPr="00C16208">
              <w:rPr>
                <w:rFonts w:ascii="Apercu Light" w:hAnsi="Apercu Light"/>
                <w:color w:val="000000"/>
              </w:rPr>
              <w:t>Director of Services and Research</w:t>
            </w:r>
          </w:p>
        </w:tc>
      </w:tr>
      <w:tr w:rsidR="006A7F35" w:rsidRPr="00C16208" w14:paraId="2CACBC79"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09C46A73" w14:textId="77777777" w:rsidR="006A7F35" w:rsidRPr="00C16208" w:rsidRDefault="00EB0017">
            <w:pPr>
              <w:spacing w:before="40" w:after="40"/>
              <w:rPr>
                <w:rFonts w:ascii="Apercu Light" w:hAnsi="Apercu Light"/>
              </w:rPr>
            </w:pPr>
            <w:r w:rsidRPr="00C16208">
              <w:rPr>
                <w:rFonts w:ascii="Apercu Light" w:hAnsi="Apercu Light"/>
                <w:b/>
                <w:bCs/>
                <w:color w:val="000000"/>
              </w:rPr>
              <w:t>Open to</w:t>
            </w:r>
          </w:p>
        </w:tc>
        <w:tc>
          <w:tcPr>
            <w:tcW w:w="6426" w:type="dxa"/>
            <w:tcBorders>
              <w:top w:val="single" w:sz="1" w:space="0" w:color="000000"/>
              <w:left w:val="single" w:sz="1" w:space="0" w:color="000000"/>
              <w:bottom w:val="single" w:sz="1" w:space="0" w:color="000000"/>
              <w:right w:val="single" w:sz="1" w:space="0" w:color="000000"/>
            </w:tcBorders>
            <w:shd w:val="clear" w:color="auto" w:fill="FFFFFF"/>
            <w:tcMar>
              <w:top w:w="80" w:type="dxa"/>
              <w:left w:w="140" w:type="dxa"/>
              <w:bottom w:w="80" w:type="dxa"/>
              <w:right w:w="140" w:type="dxa"/>
            </w:tcMar>
          </w:tcPr>
          <w:p w14:paraId="4F3483AF" w14:textId="77777777" w:rsidR="006A7F35" w:rsidRPr="00C16208" w:rsidRDefault="00EB0017">
            <w:pPr>
              <w:spacing w:before="40" w:after="40"/>
              <w:rPr>
                <w:rFonts w:ascii="Apercu Light" w:hAnsi="Apercu Light"/>
              </w:rPr>
            </w:pPr>
            <w:r w:rsidRPr="00C16208">
              <w:rPr>
                <w:rFonts w:ascii="Apercu Light" w:hAnsi="Apercu Light"/>
                <w:color w:val="000000"/>
              </w:rPr>
              <w:t>Organisations (offering a named adviser on secondment or as a service) and individuals</w:t>
            </w:r>
          </w:p>
        </w:tc>
      </w:tr>
      <w:tr w:rsidR="006A7F35" w:rsidRPr="00C16208" w14:paraId="22E4E08A"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79C73702" w14:textId="77777777" w:rsidR="006A7F35" w:rsidRPr="00C16208" w:rsidRDefault="00EB0017">
            <w:pPr>
              <w:spacing w:before="40" w:after="40"/>
              <w:rPr>
                <w:rFonts w:ascii="Apercu Light" w:hAnsi="Apercu Light"/>
              </w:rPr>
            </w:pPr>
            <w:r w:rsidRPr="00C16208">
              <w:rPr>
                <w:rFonts w:ascii="Apercu Light" w:hAnsi="Apercu Light"/>
                <w:b/>
                <w:bCs/>
                <w:color w:val="000000"/>
              </w:rPr>
              <w:t>Time commitment</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6A964BBF" w14:textId="4ACF3B29" w:rsidR="006A7F35" w:rsidRPr="00C16208" w:rsidRDefault="00EB0017">
            <w:pPr>
              <w:spacing w:before="40" w:after="40"/>
              <w:rPr>
                <w:rFonts w:ascii="Apercu Light" w:hAnsi="Apercu Light"/>
              </w:rPr>
            </w:pPr>
            <w:r w:rsidRPr="00C16208">
              <w:rPr>
                <w:rFonts w:ascii="Apercu Light" w:hAnsi="Apercu Light"/>
                <w:color w:val="000000"/>
              </w:rPr>
              <w:t>Approximately 2 days per month</w:t>
            </w:r>
            <w:r w:rsidR="00911751" w:rsidRPr="00C16208">
              <w:rPr>
                <w:rFonts w:ascii="Apercu Light" w:hAnsi="Apercu Light"/>
                <w:color w:val="000000"/>
              </w:rPr>
              <w:t xml:space="preserve"> as standard for core activities (exact time to be agreed during contracting)</w:t>
            </w:r>
            <w:r w:rsidRPr="00C16208">
              <w:rPr>
                <w:rFonts w:ascii="Apercu Light" w:hAnsi="Apercu Light"/>
                <w:color w:val="000000"/>
              </w:rPr>
              <w:t xml:space="preserve">; additional project work </w:t>
            </w:r>
            <w:r w:rsidR="00911751" w:rsidRPr="00C16208">
              <w:rPr>
                <w:rFonts w:ascii="Apercu Light" w:hAnsi="Apercu Light"/>
                <w:color w:val="000000"/>
              </w:rPr>
              <w:t xml:space="preserve">costed and scheduled </w:t>
            </w:r>
            <w:r w:rsidRPr="00C16208">
              <w:rPr>
                <w:rFonts w:ascii="Apercu Light" w:hAnsi="Apercu Light"/>
                <w:color w:val="000000"/>
              </w:rPr>
              <w:t>by agreement. Commitment will be higher in the initial establishment period.</w:t>
            </w:r>
          </w:p>
        </w:tc>
      </w:tr>
      <w:tr w:rsidR="006A7F35" w:rsidRPr="00C16208" w14:paraId="32C0B1D3"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4186D52A" w14:textId="77777777" w:rsidR="006A7F35" w:rsidRPr="00C16208" w:rsidRDefault="00EB0017">
            <w:pPr>
              <w:spacing w:before="40" w:after="40"/>
              <w:rPr>
                <w:rFonts w:ascii="Apercu Light" w:hAnsi="Apercu Light"/>
              </w:rPr>
            </w:pPr>
            <w:r w:rsidRPr="00C16208">
              <w:rPr>
                <w:rFonts w:ascii="Apercu Light" w:hAnsi="Apercu Light"/>
                <w:b/>
                <w:bCs/>
                <w:color w:val="000000"/>
              </w:rPr>
              <w:t>Engagement term</w:t>
            </w:r>
          </w:p>
        </w:tc>
        <w:tc>
          <w:tcPr>
            <w:tcW w:w="6426" w:type="dxa"/>
            <w:tcBorders>
              <w:top w:val="single" w:sz="1" w:space="0" w:color="000000"/>
              <w:left w:val="single" w:sz="1" w:space="0" w:color="000000"/>
              <w:bottom w:val="single" w:sz="1" w:space="0" w:color="000000"/>
              <w:right w:val="single" w:sz="1" w:space="0" w:color="000000"/>
            </w:tcBorders>
            <w:shd w:val="clear" w:color="auto" w:fill="FFFFFF"/>
            <w:tcMar>
              <w:top w:w="80" w:type="dxa"/>
              <w:left w:w="140" w:type="dxa"/>
              <w:bottom w:w="80" w:type="dxa"/>
              <w:right w:w="140" w:type="dxa"/>
            </w:tcMar>
          </w:tcPr>
          <w:p w14:paraId="6CAC8D96" w14:textId="77777777" w:rsidR="006A7F35" w:rsidRPr="00C16208" w:rsidRDefault="00EB0017">
            <w:pPr>
              <w:spacing w:before="40" w:after="40"/>
              <w:rPr>
                <w:rFonts w:ascii="Apercu Light" w:hAnsi="Apercu Light"/>
              </w:rPr>
            </w:pPr>
            <w:r w:rsidRPr="00C16208">
              <w:rPr>
                <w:rFonts w:ascii="Apercu Light" w:hAnsi="Apercu Light"/>
                <w:color w:val="000000"/>
              </w:rPr>
              <w:t>Initial term of one year, with annual review. Earlier termination clauses for both parties will be set out in the contract.</w:t>
            </w:r>
          </w:p>
        </w:tc>
      </w:tr>
      <w:tr w:rsidR="006A7F35" w:rsidRPr="00C16208" w14:paraId="0195F903"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2572A892" w14:textId="77777777" w:rsidR="006A7F35" w:rsidRPr="00C16208" w:rsidRDefault="00EB0017">
            <w:pPr>
              <w:spacing w:before="40" w:after="40"/>
              <w:rPr>
                <w:rFonts w:ascii="Apercu Light" w:hAnsi="Apercu Light"/>
              </w:rPr>
            </w:pPr>
            <w:r w:rsidRPr="00C16208">
              <w:rPr>
                <w:rFonts w:ascii="Apercu Light" w:hAnsi="Apercu Light"/>
                <w:b/>
                <w:bCs/>
                <w:color w:val="000000"/>
              </w:rPr>
              <w:t>Remuneration</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3AB9B65E" w14:textId="588E38EC" w:rsidR="006A7F35" w:rsidRPr="00C16208" w:rsidRDefault="00EB0017">
            <w:pPr>
              <w:spacing w:before="40" w:after="40"/>
              <w:rPr>
                <w:rFonts w:ascii="Apercu Light" w:hAnsi="Apercu Light"/>
              </w:rPr>
            </w:pPr>
            <w:r w:rsidRPr="00C16208">
              <w:rPr>
                <w:rFonts w:ascii="Apercu Light" w:hAnsi="Apercu Light"/>
                <w:color w:val="000000"/>
              </w:rPr>
              <w:t>Negotiable. Respondents are invited to outline costs for the first year</w:t>
            </w:r>
            <w:r w:rsidR="00911751" w:rsidRPr="00C16208">
              <w:rPr>
                <w:rFonts w:ascii="Apercu Light" w:hAnsi="Apercu Light"/>
                <w:color w:val="000000"/>
              </w:rPr>
              <w:t xml:space="preserve"> using a day rate model. </w:t>
            </w:r>
          </w:p>
        </w:tc>
      </w:tr>
      <w:tr w:rsidR="006A7F35" w:rsidRPr="00C16208" w14:paraId="61187C3B"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717E98CA" w14:textId="77777777" w:rsidR="006A7F35" w:rsidRPr="00C16208" w:rsidRDefault="00EB0017">
            <w:pPr>
              <w:spacing w:before="40" w:after="40"/>
              <w:rPr>
                <w:rFonts w:ascii="Apercu Light" w:hAnsi="Apercu Light"/>
              </w:rPr>
            </w:pPr>
            <w:r w:rsidRPr="00C16208">
              <w:rPr>
                <w:rFonts w:ascii="Apercu Light" w:hAnsi="Apercu Light"/>
                <w:b/>
                <w:bCs/>
                <w:color w:val="000000"/>
              </w:rPr>
              <w:t>Location</w:t>
            </w:r>
          </w:p>
        </w:tc>
        <w:tc>
          <w:tcPr>
            <w:tcW w:w="6426" w:type="dxa"/>
            <w:tcBorders>
              <w:top w:val="single" w:sz="1" w:space="0" w:color="000000"/>
              <w:left w:val="single" w:sz="1" w:space="0" w:color="000000"/>
              <w:bottom w:val="single" w:sz="1" w:space="0" w:color="000000"/>
              <w:right w:val="single" w:sz="1" w:space="0" w:color="000000"/>
            </w:tcBorders>
            <w:shd w:val="clear" w:color="auto" w:fill="FFFFFF"/>
            <w:tcMar>
              <w:top w:w="80" w:type="dxa"/>
              <w:left w:w="140" w:type="dxa"/>
              <w:bottom w:w="80" w:type="dxa"/>
              <w:right w:w="140" w:type="dxa"/>
            </w:tcMar>
          </w:tcPr>
          <w:p w14:paraId="20B88023" w14:textId="77777777" w:rsidR="006A7F35" w:rsidRPr="00C16208" w:rsidRDefault="00EB0017">
            <w:pPr>
              <w:spacing w:before="40" w:after="40"/>
              <w:rPr>
                <w:rFonts w:ascii="Apercu Light" w:hAnsi="Apercu Light"/>
              </w:rPr>
            </w:pPr>
            <w:r w:rsidRPr="00C16208">
              <w:rPr>
                <w:rFonts w:ascii="Apercu Light" w:hAnsi="Apercu Light"/>
                <w:color w:val="000000"/>
              </w:rPr>
              <w:t>Primarily remote, with occasional attendance at MMM events or governance meetings</w:t>
            </w:r>
          </w:p>
        </w:tc>
      </w:tr>
      <w:tr w:rsidR="006A7F35" w:rsidRPr="00C16208" w14:paraId="7932B9BA"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0362C226" w14:textId="77777777" w:rsidR="006A7F35" w:rsidRPr="00C16208" w:rsidRDefault="00EB0017">
            <w:pPr>
              <w:spacing w:before="40" w:after="40"/>
              <w:rPr>
                <w:rFonts w:ascii="Apercu Light" w:hAnsi="Apercu Light"/>
              </w:rPr>
            </w:pPr>
            <w:r w:rsidRPr="00C16208">
              <w:rPr>
                <w:rFonts w:ascii="Apercu Light" w:hAnsi="Apercu Light"/>
                <w:b/>
                <w:bCs/>
                <w:color w:val="000000"/>
              </w:rPr>
              <w:t>DBS requirement</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7EBECFB1" w14:textId="77777777" w:rsidR="006A7F35" w:rsidRPr="00C16208" w:rsidRDefault="00EB0017">
            <w:pPr>
              <w:spacing w:before="40" w:after="40"/>
              <w:rPr>
                <w:rFonts w:ascii="Apercu Light" w:hAnsi="Apercu Light"/>
              </w:rPr>
            </w:pPr>
            <w:r w:rsidRPr="00C16208">
              <w:rPr>
                <w:rFonts w:ascii="Apercu Light" w:hAnsi="Apercu Light"/>
                <w:color w:val="000000"/>
              </w:rPr>
              <w:t>Enhanced DBS with adults barred list check required for the named adviser</w:t>
            </w:r>
          </w:p>
        </w:tc>
      </w:tr>
      <w:tr w:rsidR="006A7F35" w:rsidRPr="00C16208" w14:paraId="50527399"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2A0BFB26" w14:textId="77777777" w:rsidR="006A7F35" w:rsidRPr="00C16208" w:rsidRDefault="00EB0017">
            <w:pPr>
              <w:spacing w:before="40" w:after="40"/>
              <w:rPr>
                <w:rFonts w:ascii="Apercu Light" w:hAnsi="Apercu Light"/>
              </w:rPr>
            </w:pPr>
            <w:r w:rsidRPr="00C16208">
              <w:rPr>
                <w:rFonts w:ascii="Apercu Light" w:hAnsi="Apercu Light"/>
                <w:b/>
                <w:bCs/>
                <w:color w:val="000000"/>
              </w:rPr>
              <w:t>Expressions of interest by</w:t>
            </w:r>
          </w:p>
        </w:tc>
        <w:tc>
          <w:tcPr>
            <w:tcW w:w="6426" w:type="dxa"/>
            <w:tcBorders>
              <w:top w:val="single" w:sz="1" w:space="0" w:color="000000"/>
              <w:left w:val="single" w:sz="1" w:space="0" w:color="000000"/>
              <w:bottom w:val="single" w:sz="1" w:space="0" w:color="000000"/>
              <w:right w:val="single" w:sz="1" w:space="0" w:color="000000"/>
            </w:tcBorders>
            <w:shd w:val="clear" w:color="auto" w:fill="FFFFFF"/>
            <w:tcMar>
              <w:top w:w="80" w:type="dxa"/>
              <w:left w:w="140" w:type="dxa"/>
              <w:bottom w:w="80" w:type="dxa"/>
              <w:right w:w="140" w:type="dxa"/>
            </w:tcMar>
          </w:tcPr>
          <w:p w14:paraId="28AEADE8" w14:textId="21D0C8C1" w:rsidR="006A7F35" w:rsidRPr="00C16208" w:rsidRDefault="00E67932">
            <w:pPr>
              <w:spacing w:before="40" w:after="40"/>
              <w:rPr>
                <w:rFonts w:ascii="Apercu Light" w:hAnsi="Apercu Light"/>
              </w:rPr>
            </w:pPr>
            <w:r>
              <w:rPr>
                <w:rFonts w:ascii="Apercu Light" w:hAnsi="Apercu Light"/>
                <w:color w:val="000000"/>
              </w:rPr>
              <w:t>5pm 26 June 2026</w:t>
            </w:r>
          </w:p>
        </w:tc>
      </w:tr>
      <w:tr w:rsidR="006A7F35" w:rsidRPr="00C16208" w14:paraId="5C640DAD" w14:textId="77777777">
        <w:tc>
          <w:tcPr>
            <w:tcW w:w="2600" w:type="dxa"/>
            <w:tcBorders>
              <w:top w:val="single" w:sz="1" w:space="0" w:color="000000"/>
              <w:left w:val="single" w:sz="1" w:space="0" w:color="000000"/>
              <w:bottom w:val="single" w:sz="1" w:space="0" w:color="000000"/>
              <w:right w:val="single" w:sz="1" w:space="0" w:color="000000"/>
            </w:tcBorders>
            <w:shd w:val="clear" w:color="auto" w:fill="E8E8E8"/>
            <w:tcMar>
              <w:top w:w="80" w:type="dxa"/>
              <w:left w:w="140" w:type="dxa"/>
              <w:bottom w:w="80" w:type="dxa"/>
              <w:right w:w="140" w:type="dxa"/>
            </w:tcMar>
            <w:vAlign w:val="center"/>
          </w:tcPr>
          <w:p w14:paraId="06299804" w14:textId="77777777" w:rsidR="006A7F35" w:rsidRPr="00C16208" w:rsidRDefault="00EB0017">
            <w:pPr>
              <w:spacing w:before="40" w:after="40"/>
              <w:rPr>
                <w:rFonts w:ascii="Apercu Light" w:hAnsi="Apercu Light"/>
              </w:rPr>
            </w:pPr>
            <w:r w:rsidRPr="00C16208">
              <w:rPr>
                <w:rFonts w:ascii="Apercu Light" w:hAnsi="Apercu Light"/>
                <w:b/>
                <w:bCs/>
                <w:color w:val="000000"/>
              </w:rPr>
              <w:t>Next stage</w:t>
            </w:r>
          </w:p>
        </w:tc>
        <w:tc>
          <w:tcPr>
            <w:tcW w:w="6426" w:type="dxa"/>
            <w:tcBorders>
              <w:top w:val="single" w:sz="1" w:space="0" w:color="000000"/>
              <w:left w:val="single" w:sz="1" w:space="0" w:color="000000"/>
              <w:bottom w:val="single" w:sz="1" w:space="0" w:color="000000"/>
              <w:right w:val="single" w:sz="1" w:space="0" w:color="000000"/>
            </w:tcBorders>
            <w:shd w:val="clear" w:color="auto" w:fill="F0F0F0"/>
            <w:tcMar>
              <w:top w:w="80" w:type="dxa"/>
              <w:left w:w="140" w:type="dxa"/>
              <w:bottom w:w="80" w:type="dxa"/>
              <w:right w:w="140" w:type="dxa"/>
            </w:tcMar>
          </w:tcPr>
          <w:p w14:paraId="04B9865B" w14:textId="77777777" w:rsidR="006A7F35" w:rsidRPr="00C16208" w:rsidRDefault="00EB0017">
            <w:pPr>
              <w:spacing w:before="40" w:after="40"/>
              <w:rPr>
                <w:rFonts w:ascii="Apercu Light" w:hAnsi="Apercu Light"/>
              </w:rPr>
            </w:pPr>
            <w:r w:rsidRPr="00C16208">
              <w:rPr>
                <w:rFonts w:ascii="Apercu Light" w:hAnsi="Apercu Light"/>
                <w:color w:val="000000"/>
              </w:rPr>
              <w:t>Shortlisted respondents will be invited to a discussion with MMM</w:t>
            </w:r>
          </w:p>
        </w:tc>
      </w:tr>
    </w:tbl>
    <w:p w14:paraId="547AB81A"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1. About Music Minds Matter</w:t>
      </w:r>
    </w:p>
    <w:p w14:paraId="02F59304" w14:textId="3D2EE91C" w:rsidR="006A7F35" w:rsidRPr="00C16208" w:rsidRDefault="00EB0017">
      <w:pPr>
        <w:spacing w:before="80" w:after="80"/>
        <w:jc w:val="both"/>
        <w:rPr>
          <w:rFonts w:ascii="Apercu Light" w:hAnsi="Apercu Light"/>
        </w:rPr>
      </w:pPr>
      <w:r w:rsidRPr="00C16208">
        <w:rPr>
          <w:rFonts w:ascii="Apercu Light" w:hAnsi="Apercu Light"/>
          <w:color w:val="000000"/>
        </w:rPr>
        <w:t xml:space="preserve">Music Minds Matter (MMM) is a Charitable Incorporated Organisation registered in England and Wales (Charity No. 1199795). Our purpose is to promote the mental wellbeing of </w:t>
      </w:r>
      <w:r w:rsidR="00911751" w:rsidRPr="00C16208">
        <w:rPr>
          <w:rFonts w:ascii="Apercu Light" w:hAnsi="Apercu Light"/>
          <w:color w:val="000000"/>
        </w:rPr>
        <w:t xml:space="preserve">people working in the full diversity of roles across the music ecosystem so that everyone in music can thrive: </w:t>
      </w:r>
      <w:hyperlink r:id="rId10" w:history="1">
        <w:r w:rsidR="00911751" w:rsidRPr="00C16208">
          <w:rPr>
            <w:rStyle w:val="Hyperlink"/>
            <w:rFonts w:ascii="Apercu Light" w:hAnsi="Apercu Light"/>
          </w:rPr>
          <w:t>www.musicmindsmatter.org.uk</w:t>
        </w:r>
      </w:hyperlink>
    </w:p>
    <w:p w14:paraId="721CB65A"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2. The Clinical Adviser Function</w:t>
      </w:r>
    </w:p>
    <w:p w14:paraId="528C83D2" w14:textId="0C39C4E2" w:rsidR="006A7F35" w:rsidRPr="00C16208" w:rsidRDefault="00EB0017">
      <w:pPr>
        <w:pStyle w:val="Heading2"/>
        <w:rPr>
          <w:rFonts w:ascii="Apercu Light" w:hAnsi="Apercu Light"/>
          <w:sz w:val="22"/>
          <w:szCs w:val="22"/>
        </w:rPr>
      </w:pPr>
      <w:r w:rsidRPr="00C16208">
        <w:rPr>
          <w:rFonts w:ascii="Apercu Light" w:hAnsi="Apercu Light"/>
          <w:sz w:val="22"/>
          <w:szCs w:val="22"/>
        </w:rPr>
        <w:t xml:space="preserve">2.1 </w:t>
      </w:r>
      <w:r w:rsidR="00911751" w:rsidRPr="00C16208">
        <w:rPr>
          <w:rFonts w:ascii="Apercu Light" w:hAnsi="Apercu Light"/>
          <w:sz w:val="22"/>
          <w:szCs w:val="22"/>
        </w:rPr>
        <w:t>About</w:t>
      </w:r>
    </w:p>
    <w:p w14:paraId="73A9E322" w14:textId="26CABEF8" w:rsidR="006A7F35" w:rsidRPr="00C16208" w:rsidRDefault="00EB0017">
      <w:pPr>
        <w:spacing w:before="80" w:after="80"/>
        <w:jc w:val="both"/>
        <w:rPr>
          <w:rFonts w:ascii="Apercu Light" w:hAnsi="Apercu Light"/>
        </w:rPr>
      </w:pPr>
      <w:r w:rsidRPr="00C16208">
        <w:rPr>
          <w:rFonts w:ascii="Apercu Light" w:hAnsi="Apercu Light"/>
          <w:color w:val="000000"/>
        </w:rPr>
        <w:lastRenderedPageBreak/>
        <w:t>We are inviting expressions of interest to fulfil the Clinical Adviser function for Music Minds Matter. We describe this deliberately as a function rather than a role, because we are open to how it is fulfilled — whether by an individual working directly with us, or by an organisation that provides a named adviser who works with us</w:t>
      </w:r>
      <w:r w:rsidR="00FA43E6" w:rsidRPr="00C16208">
        <w:rPr>
          <w:rFonts w:ascii="Apercu Light" w:hAnsi="Apercu Light"/>
          <w:color w:val="000000"/>
        </w:rPr>
        <w:t>.</w:t>
      </w:r>
    </w:p>
    <w:p w14:paraId="7E3BD0CF" w14:textId="46B67C20" w:rsidR="006A7F35" w:rsidRPr="00C16208" w:rsidRDefault="00EB0017" w:rsidP="006C08DB">
      <w:pPr>
        <w:spacing w:before="80" w:after="80"/>
        <w:jc w:val="both"/>
        <w:rPr>
          <w:rFonts w:ascii="Apercu Light" w:hAnsi="Apercu Light"/>
        </w:rPr>
      </w:pPr>
      <w:r w:rsidRPr="00C16208">
        <w:rPr>
          <w:rFonts w:ascii="Apercu Light" w:hAnsi="Apercu Light"/>
          <w:color w:val="000000"/>
        </w:rPr>
        <w:t>Whichever model is proposed, the function requires a single named individual who will serve as MMM's Clinical Adviser — the person who will be known to our staff and trustees, who will sign off clinical governance reports, and who will be the consistent clinical voice within our governance framework. We are not seeking a rotating panel or a generic advisory service.</w:t>
      </w:r>
    </w:p>
    <w:p w14:paraId="57C68165" w14:textId="379B633B" w:rsidR="006A7F35" w:rsidRPr="00C16208" w:rsidRDefault="00EB0017">
      <w:pPr>
        <w:pStyle w:val="Heading2"/>
        <w:rPr>
          <w:rFonts w:ascii="Apercu Light" w:hAnsi="Apercu Light"/>
          <w:sz w:val="22"/>
          <w:szCs w:val="22"/>
        </w:rPr>
      </w:pPr>
      <w:r w:rsidRPr="00C16208">
        <w:rPr>
          <w:rFonts w:ascii="Apercu Light" w:hAnsi="Apercu Light"/>
          <w:sz w:val="22"/>
          <w:szCs w:val="22"/>
        </w:rPr>
        <w:t xml:space="preserve">2.2 </w:t>
      </w:r>
      <w:r w:rsidR="00FA43E6" w:rsidRPr="00C16208">
        <w:rPr>
          <w:rFonts w:ascii="Apercu Light" w:hAnsi="Apercu Light"/>
          <w:sz w:val="22"/>
          <w:szCs w:val="22"/>
        </w:rPr>
        <w:t xml:space="preserve">Information about organisations applying </w:t>
      </w:r>
    </w:p>
    <w:p w14:paraId="3913F879" w14:textId="08A43946" w:rsidR="006A7F35" w:rsidRPr="00C16208" w:rsidRDefault="00EB0017" w:rsidP="00FA43E6">
      <w:pPr>
        <w:spacing w:before="80" w:after="80"/>
        <w:jc w:val="both"/>
        <w:rPr>
          <w:rFonts w:ascii="Apercu Light" w:hAnsi="Apercu Light"/>
        </w:rPr>
      </w:pPr>
      <w:r w:rsidRPr="00C16208">
        <w:rPr>
          <w:rFonts w:ascii="Apercu Light" w:hAnsi="Apercu Light"/>
          <w:color w:val="000000"/>
        </w:rPr>
        <w:t>We recognise that a significant advantage of appointing an organisation — rather than an individual — is that the named adviser benefits from the infrastructure, supervision, peer support, and professional development that comes with being part of a larger clinical team. An organisation may also offer greater resilience: continuity of provision if the named adviser is unavailable, and the ability to draw on wider expertise within the team when complex questions arise. We welcome proposals that articulate how these benefits would be realised in practice.</w:t>
      </w:r>
    </w:p>
    <w:p w14:paraId="4E301944" w14:textId="38740AAA" w:rsidR="006A7F35" w:rsidRPr="00C16208" w:rsidRDefault="00EB0017">
      <w:pPr>
        <w:pStyle w:val="Heading2"/>
        <w:rPr>
          <w:rFonts w:ascii="Apercu Light" w:hAnsi="Apercu Light"/>
          <w:sz w:val="22"/>
          <w:szCs w:val="22"/>
        </w:rPr>
      </w:pPr>
      <w:r w:rsidRPr="00C16208">
        <w:rPr>
          <w:rFonts w:ascii="Apercu Light" w:hAnsi="Apercu Light"/>
          <w:sz w:val="22"/>
          <w:szCs w:val="22"/>
        </w:rPr>
        <w:t xml:space="preserve">2.3 </w:t>
      </w:r>
      <w:r w:rsidR="00FA43E6" w:rsidRPr="00C16208">
        <w:rPr>
          <w:rFonts w:ascii="Apercu Light" w:hAnsi="Apercu Light"/>
          <w:sz w:val="22"/>
          <w:szCs w:val="22"/>
        </w:rPr>
        <w:t xml:space="preserve">Information about individuals applying </w:t>
      </w:r>
    </w:p>
    <w:p w14:paraId="3E7BDD63" w14:textId="61E9E5E5" w:rsidR="006A7F35" w:rsidRPr="00C16208" w:rsidRDefault="00EB0017" w:rsidP="00FA43E6">
      <w:pPr>
        <w:spacing w:before="80" w:after="80"/>
        <w:jc w:val="both"/>
        <w:rPr>
          <w:rFonts w:ascii="Apercu Light" w:hAnsi="Apercu Light"/>
        </w:rPr>
      </w:pPr>
      <w:r w:rsidRPr="00C16208">
        <w:rPr>
          <w:rFonts w:ascii="Apercu Light" w:hAnsi="Apercu Light"/>
          <w:color w:val="000000"/>
        </w:rPr>
        <w:t xml:space="preserve">We equally recognise that an experienced independent practitioner may bring deep </w:t>
      </w:r>
      <w:r w:rsidR="00FA43E6" w:rsidRPr="00C16208">
        <w:rPr>
          <w:rFonts w:ascii="Apercu Light" w:hAnsi="Apercu Light"/>
          <w:color w:val="000000"/>
        </w:rPr>
        <w:t>professional</w:t>
      </w:r>
      <w:r w:rsidRPr="00C16208">
        <w:rPr>
          <w:rFonts w:ascii="Apercu Light" w:hAnsi="Apercu Light"/>
          <w:color w:val="000000"/>
        </w:rPr>
        <w:t xml:space="preserve"> expertise, flexibility, and a direct working relationship that suits the size and culture of our organisation. An individual with the right experience</w:t>
      </w:r>
      <w:r w:rsidR="00FA43E6" w:rsidRPr="00C16208">
        <w:rPr>
          <w:rFonts w:ascii="Apercu Light" w:hAnsi="Apercu Light"/>
          <w:color w:val="000000"/>
        </w:rPr>
        <w:t xml:space="preserve"> </w:t>
      </w:r>
      <w:r w:rsidRPr="00C16208">
        <w:rPr>
          <w:rFonts w:ascii="Apercu Light" w:hAnsi="Apercu Light"/>
          <w:color w:val="000000"/>
        </w:rPr>
        <w:t>and governance background may be ideally placed to fulfil this function, and we encourage individuals who meet the brief to apply.</w:t>
      </w:r>
      <w:r w:rsidR="006C08DB" w:rsidRPr="00C16208">
        <w:rPr>
          <w:rFonts w:ascii="Apercu Light" w:hAnsi="Apercu Light"/>
        </w:rPr>
        <w:t xml:space="preserve"> </w:t>
      </w:r>
    </w:p>
    <w:p w14:paraId="30E8F642"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3. Purpose of the Clinical Adviser Function</w:t>
      </w:r>
    </w:p>
    <w:p w14:paraId="743C0CE7" w14:textId="5590E694" w:rsidR="006A7F35" w:rsidRPr="00C16208" w:rsidRDefault="00EB0017">
      <w:pPr>
        <w:spacing w:before="80" w:after="80"/>
        <w:jc w:val="both"/>
        <w:rPr>
          <w:rFonts w:ascii="Apercu Light" w:hAnsi="Apercu Light"/>
        </w:rPr>
      </w:pPr>
      <w:r w:rsidRPr="00C16208">
        <w:rPr>
          <w:rFonts w:ascii="Apercu Light" w:hAnsi="Apercu Light"/>
          <w:color w:val="000000"/>
        </w:rPr>
        <w:t>The Clinical Adviser provides independent, qualified clinical expertise to Music Minds Matter, enabling the charity to maintain appropriate governance of its mental health and wellbeing activities, manage risk effectively, and uphold its duty of care to service users, programme participants, and the wider music community it serves.</w:t>
      </w:r>
    </w:p>
    <w:p w14:paraId="16C260CF" w14:textId="13E1F964" w:rsidR="006A7F35" w:rsidRPr="00C16208" w:rsidRDefault="00EB0017">
      <w:pPr>
        <w:spacing w:before="80" w:after="80"/>
        <w:jc w:val="both"/>
        <w:rPr>
          <w:rFonts w:ascii="Apercu Light" w:hAnsi="Apercu Light"/>
          <w:color w:val="000000"/>
        </w:rPr>
      </w:pPr>
      <w:r w:rsidRPr="00C16208">
        <w:rPr>
          <w:rFonts w:ascii="Apercu Light" w:hAnsi="Apercu Light"/>
          <w:color w:val="000000"/>
        </w:rPr>
        <w:t>The Clinical Adviser acts as MMM's primary source of clinical authority</w:t>
      </w:r>
      <w:r w:rsidR="006C08DB" w:rsidRPr="00C16208">
        <w:rPr>
          <w:rFonts w:ascii="Apercu Light" w:hAnsi="Apercu Light"/>
          <w:color w:val="000000"/>
        </w:rPr>
        <w:t xml:space="preserve">. </w:t>
      </w:r>
      <w:r w:rsidRPr="00C16208">
        <w:rPr>
          <w:rFonts w:ascii="Apercu Light" w:hAnsi="Apercu Light"/>
          <w:color w:val="000000"/>
        </w:rPr>
        <w:t xml:space="preserve">The function is sessional and part-time in nature, designed to be proportionate to the size and stage of MMM while providing a robust and credible clinical governance capability. </w:t>
      </w:r>
    </w:p>
    <w:p w14:paraId="7D90A943" w14:textId="5F292EFE" w:rsidR="00FA43E6" w:rsidRPr="00C16208" w:rsidRDefault="00FA43E6" w:rsidP="00FA43E6">
      <w:pPr>
        <w:spacing w:before="40" w:after="40"/>
        <w:jc w:val="both"/>
        <w:rPr>
          <w:rFonts w:ascii="Apercu Light" w:hAnsi="Apercu Light"/>
          <w:color w:val="000000" w:themeColor="text1"/>
        </w:rPr>
      </w:pPr>
      <w:r w:rsidRPr="00C16208">
        <w:rPr>
          <w:rFonts w:ascii="Apercu Light" w:hAnsi="Apercu Light"/>
          <w:color w:val="000000" w:themeColor="text1"/>
        </w:rPr>
        <w:t>The Clinical Adviser does not provide any direct support, therapy, or clinical intervention to MMM's service users. The function is one of governance, oversight, and expert guidance — supporting MMM to operate safely, appropriately, and to the right standard of care.</w:t>
      </w:r>
    </w:p>
    <w:p w14:paraId="223CCC23" w14:textId="508D3101" w:rsidR="006A7F35" w:rsidRPr="00C16208" w:rsidRDefault="00EB0017">
      <w:pPr>
        <w:pStyle w:val="Heading1"/>
        <w:rPr>
          <w:rFonts w:ascii="Apercu Light" w:hAnsi="Apercu Light"/>
          <w:sz w:val="22"/>
          <w:szCs w:val="22"/>
        </w:rPr>
      </w:pPr>
      <w:r w:rsidRPr="00C16208">
        <w:rPr>
          <w:rFonts w:ascii="Apercu Light" w:hAnsi="Apercu Light"/>
          <w:sz w:val="22"/>
          <w:szCs w:val="22"/>
        </w:rPr>
        <w:t>4. Scope of the Clinical Adviser Function</w:t>
      </w:r>
    </w:p>
    <w:p w14:paraId="117021E6" w14:textId="0981F2FD" w:rsidR="006A7F35" w:rsidRPr="00C16208" w:rsidRDefault="00EB0017">
      <w:pPr>
        <w:spacing w:before="80" w:after="80"/>
        <w:jc w:val="both"/>
        <w:rPr>
          <w:rFonts w:ascii="Apercu Light" w:hAnsi="Apercu Light"/>
          <w:color w:val="000000"/>
        </w:rPr>
      </w:pPr>
      <w:r w:rsidRPr="00C16208">
        <w:rPr>
          <w:rFonts w:ascii="Apercu Light" w:hAnsi="Apercu Light"/>
          <w:color w:val="000000"/>
        </w:rPr>
        <w:t xml:space="preserve">The following sets out the full scope of what the Clinical Adviser function is expected to fulfil. </w:t>
      </w:r>
    </w:p>
    <w:p w14:paraId="5A23F289" w14:textId="62C96CDE" w:rsidR="006C08DB" w:rsidRPr="00C16208" w:rsidRDefault="006C08DB" w:rsidP="006C08DB">
      <w:pPr>
        <w:spacing w:before="80" w:after="80"/>
        <w:jc w:val="both"/>
        <w:rPr>
          <w:rFonts w:ascii="Apercu Light" w:hAnsi="Apercu Light"/>
          <w:color w:val="000000"/>
        </w:rPr>
      </w:pPr>
      <w:r w:rsidRPr="00C16208">
        <w:rPr>
          <w:rFonts w:ascii="Apercu Light" w:hAnsi="Apercu Light"/>
          <w:color w:val="000000"/>
        </w:rPr>
        <w:t xml:space="preserve">These are segmented into </w:t>
      </w:r>
      <w:r w:rsidRPr="00C16208">
        <w:rPr>
          <w:rFonts w:ascii="Apercu Light" w:hAnsi="Apercu Light"/>
          <w:b/>
          <w:bCs/>
          <w:color w:val="000000"/>
        </w:rPr>
        <w:t>core responsibilities</w:t>
      </w:r>
      <w:r w:rsidRPr="00C16208">
        <w:rPr>
          <w:rFonts w:ascii="Apercu Light" w:hAnsi="Apercu Light"/>
          <w:color w:val="000000"/>
        </w:rPr>
        <w:t xml:space="preserve"> which will be delivered within the proposed agreed standard time commitment (on a scheduled basis, </w:t>
      </w:r>
      <w:proofErr w:type="spellStart"/>
      <w:r w:rsidRPr="00C16208">
        <w:rPr>
          <w:rFonts w:ascii="Apercu Light" w:hAnsi="Apercu Light"/>
          <w:color w:val="000000"/>
        </w:rPr>
        <w:t>ie</w:t>
      </w:r>
      <w:proofErr w:type="spellEnd"/>
      <w:r w:rsidRPr="00C16208">
        <w:rPr>
          <w:rFonts w:ascii="Apercu Light" w:hAnsi="Apercu Light"/>
          <w:color w:val="000000"/>
        </w:rPr>
        <w:t xml:space="preserve"> not all will need doing every month, and as they are predictable and routine activities, an annual schedule can be made for these) and </w:t>
      </w:r>
      <w:r w:rsidRPr="00C16208">
        <w:rPr>
          <w:rFonts w:ascii="Apercu Light" w:hAnsi="Apercu Light"/>
          <w:b/>
          <w:bCs/>
          <w:color w:val="000000"/>
        </w:rPr>
        <w:t>responsive activities</w:t>
      </w:r>
      <w:r w:rsidRPr="00C16208">
        <w:rPr>
          <w:rFonts w:ascii="Apercu Light" w:hAnsi="Apercu Light"/>
          <w:color w:val="000000"/>
        </w:rPr>
        <w:t xml:space="preserve"> which will be costed as additional timebound tasks as they are less routine – where possible an indicate volume of days is provided based on MMM’s previous experience of commissioning these tasks:</w:t>
      </w:r>
    </w:p>
    <w:tbl>
      <w:tblPr>
        <w:tblStyle w:val="TableGrid"/>
        <w:tblW w:w="0" w:type="auto"/>
        <w:tblLook w:val="04A0" w:firstRow="1" w:lastRow="0" w:firstColumn="1" w:lastColumn="0" w:noHBand="0" w:noVBand="1"/>
      </w:tblPr>
      <w:tblGrid>
        <w:gridCol w:w="5228"/>
        <w:gridCol w:w="5228"/>
      </w:tblGrid>
      <w:tr w:rsidR="006C08DB" w:rsidRPr="00C16208" w14:paraId="01C77F72" w14:textId="77777777" w:rsidTr="006C08DB">
        <w:tc>
          <w:tcPr>
            <w:tcW w:w="5228" w:type="dxa"/>
          </w:tcPr>
          <w:p w14:paraId="59C8EE21" w14:textId="2BAAD3E9" w:rsidR="006C08DB" w:rsidRPr="00C16208" w:rsidRDefault="006C08DB" w:rsidP="006C08DB">
            <w:pPr>
              <w:pStyle w:val="Heading2"/>
              <w:spacing w:before="0" w:after="0"/>
              <w:rPr>
                <w:rFonts w:ascii="Apercu Light" w:hAnsi="Apercu Light"/>
                <w:sz w:val="22"/>
                <w:szCs w:val="22"/>
              </w:rPr>
            </w:pPr>
            <w:r w:rsidRPr="00C16208">
              <w:rPr>
                <w:rFonts w:ascii="Apercu Light" w:hAnsi="Apercu Light"/>
                <w:sz w:val="22"/>
                <w:szCs w:val="22"/>
              </w:rPr>
              <w:t>Area 1: Governance</w:t>
            </w:r>
          </w:p>
        </w:tc>
        <w:tc>
          <w:tcPr>
            <w:tcW w:w="5228" w:type="dxa"/>
          </w:tcPr>
          <w:p w14:paraId="0C64601A"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0EFE50DB" w14:textId="77777777" w:rsidTr="006C08DB">
        <w:tc>
          <w:tcPr>
            <w:tcW w:w="5228" w:type="dxa"/>
          </w:tcPr>
          <w:p w14:paraId="5D70DC27" w14:textId="3366EC6E" w:rsidR="006C08DB" w:rsidRPr="00C16208" w:rsidRDefault="006C08DB" w:rsidP="006C08DB">
            <w:pPr>
              <w:pStyle w:val="Heading2"/>
              <w:spacing w:before="0" w:after="0"/>
              <w:rPr>
                <w:rFonts w:ascii="Apercu Light" w:hAnsi="Apercu Light"/>
                <w:sz w:val="22"/>
                <w:szCs w:val="22"/>
              </w:rPr>
            </w:pPr>
            <w:r w:rsidRPr="00C16208">
              <w:rPr>
                <w:rFonts w:ascii="Apercu Light" w:hAnsi="Apercu Light"/>
                <w:sz w:val="22"/>
                <w:szCs w:val="22"/>
              </w:rPr>
              <w:lastRenderedPageBreak/>
              <w:t xml:space="preserve">Core activities </w:t>
            </w:r>
          </w:p>
        </w:tc>
        <w:tc>
          <w:tcPr>
            <w:tcW w:w="5228" w:type="dxa"/>
          </w:tcPr>
          <w:p w14:paraId="4DBAB6A9" w14:textId="724C6733" w:rsidR="006C08DB" w:rsidRPr="00C16208" w:rsidRDefault="006C08DB" w:rsidP="006C08DB">
            <w:pPr>
              <w:pStyle w:val="Heading2"/>
              <w:spacing w:before="0" w:after="0"/>
              <w:rPr>
                <w:rFonts w:ascii="Apercu Light" w:hAnsi="Apercu Light"/>
                <w:sz w:val="22"/>
                <w:szCs w:val="22"/>
              </w:rPr>
            </w:pPr>
            <w:r w:rsidRPr="00C16208">
              <w:rPr>
                <w:rFonts w:ascii="Apercu Light" w:hAnsi="Apercu Light"/>
                <w:sz w:val="22"/>
                <w:szCs w:val="22"/>
              </w:rPr>
              <w:t xml:space="preserve">Responsive activities </w:t>
            </w:r>
          </w:p>
        </w:tc>
      </w:tr>
      <w:tr w:rsidR="006C08DB" w:rsidRPr="00C16208" w14:paraId="15BB12FB" w14:textId="77777777" w:rsidTr="006C08DB">
        <w:tc>
          <w:tcPr>
            <w:tcW w:w="5228" w:type="dxa"/>
          </w:tcPr>
          <w:p w14:paraId="4D70A4C5" w14:textId="1D490271" w:rsidR="006C08DB" w:rsidRPr="00C16208" w:rsidRDefault="006C08DB" w:rsidP="006C08DB">
            <w:pPr>
              <w:spacing w:before="60" w:after="60"/>
              <w:rPr>
                <w:rFonts w:ascii="Apercu Light" w:hAnsi="Apercu Light"/>
              </w:rPr>
            </w:pPr>
            <w:r w:rsidRPr="00C16208">
              <w:rPr>
                <w:rFonts w:ascii="Apercu Light" w:hAnsi="Apercu Light"/>
                <w:color w:val="000000"/>
              </w:rPr>
              <w:t xml:space="preserve">Provide expert advice to the Executive and Board of Trustees on all matters relating to clinical and quality governance through quarterly meetings with the relevant Board committee </w:t>
            </w:r>
          </w:p>
        </w:tc>
        <w:tc>
          <w:tcPr>
            <w:tcW w:w="5228" w:type="dxa"/>
          </w:tcPr>
          <w:p w14:paraId="756DF0C8" w14:textId="734BC979" w:rsidR="006C08DB" w:rsidRPr="00C16208" w:rsidRDefault="006C08DB" w:rsidP="006C08D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 xml:space="preserve">Review and advise on the clinical dimensions of MMM's policy suite — including the Clinical and Quality Governance Policy, Safeguarding Policy, and Mental Health Incident Policy — on an annual basis and following any material change – approximately five days per year between June to August </w:t>
            </w:r>
          </w:p>
        </w:tc>
      </w:tr>
      <w:tr w:rsidR="006C08DB" w:rsidRPr="00C16208" w14:paraId="234FD695" w14:textId="77777777" w:rsidTr="006C08DB">
        <w:tc>
          <w:tcPr>
            <w:tcW w:w="5228" w:type="dxa"/>
          </w:tcPr>
          <w:p w14:paraId="44D3F76F" w14:textId="4677B6C7" w:rsidR="006C08DB" w:rsidRPr="00C16208" w:rsidRDefault="006C08DB" w:rsidP="006C08DB">
            <w:pPr>
              <w:spacing w:before="60" w:after="60"/>
              <w:rPr>
                <w:rFonts w:ascii="Apercu Light" w:hAnsi="Apercu Light"/>
              </w:rPr>
            </w:pPr>
            <w:r w:rsidRPr="00C16208">
              <w:rPr>
                <w:rFonts w:ascii="Apercu Light" w:hAnsi="Apercu Light"/>
                <w:color w:val="000000"/>
              </w:rPr>
              <w:t xml:space="preserve">Advise on the appropriate classification and clinical risks associated with any proposed new MMM support activities using the framework within MMM’s Clinical and Quality Governance Policy </w:t>
            </w:r>
          </w:p>
        </w:tc>
        <w:tc>
          <w:tcPr>
            <w:tcW w:w="5228" w:type="dxa"/>
          </w:tcPr>
          <w:p w14:paraId="12C82569"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4B53DB89" w14:textId="77777777" w:rsidTr="006C08DB">
        <w:tc>
          <w:tcPr>
            <w:tcW w:w="5228" w:type="dxa"/>
          </w:tcPr>
          <w:p w14:paraId="48E7D6C3" w14:textId="2D8CC484" w:rsidR="006C08DB" w:rsidRPr="00C16208" w:rsidRDefault="006C08DB" w:rsidP="006C08DB">
            <w:pPr>
              <w:spacing w:before="60" w:after="60"/>
              <w:rPr>
                <w:rFonts w:ascii="Apercu Light" w:hAnsi="Apercu Light"/>
              </w:rPr>
            </w:pPr>
            <w:r w:rsidRPr="00C16208">
              <w:rPr>
                <w:rFonts w:ascii="Apercu Light" w:hAnsi="Apercu Light"/>
                <w:color w:val="000000"/>
              </w:rPr>
              <w:t xml:space="preserve">Produce a written clinical governance report for the Board of Trustees </w:t>
            </w:r>
            <w:r w:rsidR="002E525F">
              <w:rPr>
                <w:rFonts w:ascii="Apercu Light" w:hAnsi="Apercu Light"/>
                <w:color w:val="000000"/>
              </w:rPr>
              <w:t>as required and at least annually</w:t>
            </w:r>
            <w:r w:rsidRPr="00C16208">
              <w:rPr>
                <w:rFonts w:ascii="Apercu Light" w:hAnsi="Apercu Light"/>
                <w:color w:val="000000"/>
              </w:rPr>
              <w:t xml:space="preserve"> – example content could be quality observations, safeguarding mental health incidents, risk review– a proportional template to be agreed with appointed Advisor </w:t>
            </w:r>
          </w:p>
        </w:tc>
        <w:tc>
          <w:tcPr>
            <w:tcW w:w="5228" w:type="dxa"/>
          </w:tcPr>
          <w:p w14:paraId="0126DF5E"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00975F5E" w14:textId="77777777" w:rsidTr="006C08DB">
        <w:tc>
          <w:tcPr>
            <w:tcW w:w="5228" w:type="dxa"/>
          </w:tcPr>
          <w:p w14:paraId="6B19EE0F" w14:textId="09732A39" w:rsidR="006C08DB" w:rsidRPr="00C16208" w:rsidRDefault="006C08DB" w:rsidP="006C08DB">
            <w:pPr>
              <w:spacing w:before="60" w:after="60"/>
              <w:rPr>
                <w:rFonts w:ascii="Apercu Light" w:hAnsi="Apercu Light"/>
              </w:rPr>
            </w:pPr>
            <w:r w:rsidRPr="00C16208">
              <w:rPr>
                <w:rFonts w:ascii="Apercu Light" w:hAnsi="Apercu Light"/>
                <w:color w:val="000000"/>
              </w:rPr>
              <w:t>Maintain the clinical competence standards required of freelance practitioners engaged by MMM, including minimum qualification levels, professional registration requirements, and supervision obligations, ensuring MMM's practitioner engagement framework meets an appropriate clinical standard and these standards are up to date</w:t>
            </w:r>
          </w:p>
        </w:tc>
        <w:tc>
          <w:tcPr>
            <w:tcW w:w="5228" w:type="dxa"/>
          </w:tcPr>
          <w:p w14:paraId="5CCEB234"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12F275BC" w14:textId="77777777" w:rsidTr="006C08DB">
        <w:tc>
          <w:tcPr>
            <w:tcW w:w="5228" w:type="dxa"/>
          </w:tcPr>
          <w:p w14:paraId="4A3250E5" w14:textId="4D1F12A1" w:rsidR="006C08DB" w:rsidRPr="00C16208" w:rsidRDefault="006C08DB" w:rsidP="006C08DB">
            <w:pPr>
              <w:spacing w:before="60" w:after="60"/>
              <w:rPr>
                <w:rFonts w:ascii="Apercu Light" w:hAnsi="Apercu Light"/>
              </w:rPr>
            </w:pPr>
            <w:r w:rsidRPr="00C16208">
              <w:rPr>
                <w:rFonts w:ascii="Apercu Light" w:hAnsi="Apercu Light"/>
                <w:color w:val="000000"/>
              </w:rPr>
              <w:t>Maintain a brief log of advice given and reviews undertaken in connection with this function, available to MMM on request and forming part of the organisation's governance record.</w:t>
            </w:r>
          </w:p>
        </w:tc>
        <w:tc>
          <w:tcPr>
            <w:tcW w:w="5228" w:type="dxa"/>
          </w:tcPr>
          <w:p w14:paraId="0756406E"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37AFC98B" w14:textId="77777777" w:rsidTr="006C08DB">
        <w:tc>
          <w:tcPr>
            <w:tcW w:w="5228" w:type="dxa"/>
          </w:tcPr>
          <w:p w14:paraId="6D5CE43A" w14:textId="5F3A4784" w:rsidR="006C08DB" w:rsidRPr="00C16208" w:rsidRDefault="006C08DB" w:rsidP="006C08DB">
            <w:pPr>
              <w:spacing w:before="60" w:after="60"/>
              <w:rPr>
                <w:rFonts w:ascii="Apercu Light" w:hAnsi="Apercu Light"/>
              </w:rPr>
            </w:pPr>
            <w:r w:rsidRPr="00C16208">
              <w:rPr>
                <w:rFonts w:ascii="Apercu Light" w:hAnsi="Apercu Light"/>
                <w:color w:val="000000"/>
              </w:rPr>
              <w:t>Notify the Director of Services and Research promptly of any matter that, in the Clinical Adviser's professional judgement, represents a significant or immediate risk to MMM's service users or to the organisation.</w:t>
            </w:r>
          </w:p>
        </w:tc>
        <w:tc>
          <w:tcPr>
            <w:tcW w:w="5228" w:type="dxa"/>
          </w:tcPr>
          <w:p w14:paraId="1FAC7FCE"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4AB16A91" w14:textId="77777777" w:rsidTr="006C08DB">
        <w:tc>
          <w:tcPr>
            <w:tcW w:w="5228" w:type="dxa"/>
          </w:tcPr>
          <w:p w14:paraId="5DAEDCFC" w14:textId="653FFB48" w:rsidR="006C08DB" w:rsidRPr="00C16208" w:rsidRDefault="006C08DB" w:rsidP="006C08DB">
            <w:pPr>
              <w:spacing w:before="60" w:after="60"/>
              <w:rPr>
                <w:rFonts w:ascii="Apercu Light" w:hAnsi="Apercu Light"/>
              </w:rPr>
            </w:pPr>
            <w:r w:rsidRPr="00C16208">
              <w:rPr>
                <w:rFonts w:ascii="Apercu Light" w:hAnsi="Apercu Light"/>
                <w:color w:val="000000"/>
              </w:rPr>
              <w:t>Maintain awareness of relevant regulatory and professional developments — including CQC guidance, NICE guidelines, and changes to professional standards — and advise MMM proactively where these affect its current or planned activities or governance obligations.</w:t>
            </w:r>
          </w:p>
        </w:tc>
        <w:tc>
          <w:tcPr>
            <w:tcW w:w="5228" w:type="dxa"/>
          </w:tcPr>
          <w:p w14:paraId="18608A96" w14:textId="77777777" w:rsidR="006C08DB" w:rsidRPr="00C16208" w:rsidRDefault="006C08DB" w:rsidP="006C08DB">
            <w:pPr>
              <w:pStyle w:val="Heading2"/>
              <w:spacing w:before="0" w:after="0"/>
              <w:rPr>
                <w:rFonts w:ascii="Apercu Light" w:hAnsi="Apercu Light"/>
                <w:sz w:val="22"/>
                <w:szCs w:val="22"/>
              </w:rPr>
            </w:pPr>
          </w:p>
        </w:tc>
      </w:tr>
      <w:tr w:rsidR="006C08DB" w:rsidRPr="00C16208" w14:paraId="729BE562" w14:textId="77777777" w:rsidTr="00CC0E76">
        <w:tc>
          <w:tcPr>
            <w:tcW w:w="10456" w:type="dxa"/>
            <w:gridSpan w:val="2"/>
          </w:tcPr>
          <w:p w14:paraId="418374B0" w14:textId="77777777" w:rsidR="006C08DB" w:rsidRPr="00C16208" w:rsidRDefault="006C08DB" w:rsidP="006C08DB">
            <w:pPr>
              <w:pStyle w:val="Heading2"/>
              <w:spacing w:before="0" w:after="0"/>
              <w:rPr>
                <w:rFonts w:ascii="Apercu Light" w:hAnsi="Apercu Light"/>
                <w:sz w:val="22"/>
                <w:szCs w:val="22"/>
              </w:rPr>
            </w:pPr>
            <w:r w:rsidRPr="00C16208">
              <w:rPr>
                <w:rFonts w:ascii="Apercu Light" w:hAnsi="Apercu Light"/>
                <w:sz w:val="22"/>
                <w:szCs w:val="22"/>
              </w:rPr>
              <w:t xml:space="preserve">Area 2: Quality Assurance </w:t>
            </w:r>
          </w:p>
          <w:p w14:paraId="5E4E0829" w14:textId="353EC5BF" w:rsidR="006C08DB" w:rsidRPr="00C16208" w:rsidRDefault="006C08DB" w:rsidP="006C08D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lastRenderedPageBreak/>
              <w:t xml:space="preserve">It is proposed that </w:t>
            </w:r>
            <w:r w:rsidR="00676C3B" w:rsidRPr="00C16208">
              <w:rPr>
                <w:rFonts w:ascii="Apercu Light" w:hAnsi="Apercu Light"/>
                <w:b w:val="0"/>
                <w:bCs w:val="0"/>
                <w:sz w:val="22"/>
                <w:szCs w:val="22"/>
              </w:rPr>
              <w:t xml:space="preserve">most core activities in Area 2 could be delivered through a monthly meeting with the MMM team members leading new activity development, with clear papers and area for review and advice set out in advance in a format agreed with the Clinical Advisor. Where this amounts to more than a day of review work </w:t>
            </w:r>
            <w:proofErr w:type="gramStart"/>
            <w:r w:rsidR="00676C3B" w:rsidRPr="00C16208">
              <w:rPr>
                <w:rFonts w:ascii="Apercu Light" w:hAnsi="Apercu Light"/>
                <w:b w:val="0"/>
                <w:bCs w:val="0"/>
                <w:sz w:val="22"/>
                <w:szCs w:val="22"/>
              </w:rPr>
              <w:t>in a given</w:t>
            </w:r>
            <w:proofErr w:type="gramEnd"/>
            <w:r w:rsidR="00676C3B" w:rsidRPr="00C16208">
              <w:rPr>
                <w:rFonts w:ascii="Apercu Light" w:hAnsi="Apercu Light"/>
                <w:b w:val="0"/>
                <w:bCs w:val="0"/>
                <w:sz w:val="22"/>
                <w:szCs w:val="22"/>
              </w:rPr>
              <w:t xml:space="preserve"> month, it is proposed it would move to a responsive activity </w:t>
            </w:r>
          </w:p>
        </w:tc>
      </w:tr>
      <w:tr w:rsidR="006C08DB" w:rsidRPr="00C16208" w14:paraId="3BEB6479" w14:textId="77777777" w:rsidTr="006C08DB">
        <w:tc>
          <w:tcPr>
            <w:tcW w:w="5228" w:type="dxa"/>
          </w:tcPr>
          <w:p w14:paraId="56084922" w14:textId="42420687" w:rsidR="006C08DB" w:rsidRPr="00C16208" w:rsidRDefault="006C08DB" w:rsidP="006C08DB">
            <w:pPr>
              <w:spacing w:before="60" w:after="60"/>
              <w:rPr>
                <w:rFonts w:ascii="Apercu Light" w:hAnsi="Apercu Light"/>
                <w:color w:val="000000"/>
              </w:rPr>
            </w:pPr>
            <w:r w:rsidRPr="00C16208">
              <w:rPr>
                <w:rFonts w:ascii="Apercu Light" w:hAnsi="Apercu Light"/>
                <w:color w:val="000000"/>
              </w:rPr>
              <w:lastRenderedPageBreak/>
              <w:t>Review and approve proposed outcomes and service scope for any new support developed by MMM prior to development and advise on appropriate evidence based to draw on within development</w:t>
            </w:r>
          </w:p>
        </w:tc>
        <w:tc>
          <w:tcPr>
            <w:tcW w:w="5228" w:type="dxa"/>
          </w:tcPr>
          <w:p w14:paraId="16EA7732" w14:textId="16E4FB6B" w:rsidR="006C08DB" w:rsidRPr="00C16208" w:rsidRDefault="006C08DB" w:rsidP="006C08D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Review and approve support intervention materials before use, such as handbooks, facilitation guides and so forth once developed</w:t>
            </w:r>
          </w:p>
        </w:tc>
      </w:tr>
      <w:tr w:rsidR="00676C3B" w:rsidRPr="00C16208" w14:paraId="62085BE6" w14:textId="77777777" w:rsidTr="006C08DB">
        <w:tc>
          <w:tcPr>
            <w:tcW w:w="5228" w:type="dxa"/>
          </w:tcPr>
          <w:p w14:paraId="425454B4" w14:textId="2F76CE93" w:rsidR="00676C3B" w:rsidRPr="00C16208" w:rsidRDefault="00676C3B" w:rsidP="00676C3B">
            <w:pPr>
              <w:spacing w:before="60" w:after="60"/>
              <w:rPr>
                <w:rFonts w:ascii="Apercu Light" w:hAnsi="Apercu Light"/>
              </w:rPr>
            </w:pPr>
            <w:r w:rsidRPr="00C16208">
              <w:rPr>
                <w:rFonts w:ascii="Apercu Light" w:hAnsi="Apercu Light"/>
                <w:color w:val="000000"/>
              </w:rPr>
              <w:t>Participate in MMM's new activity approval process, providing clinical sign-off where required before new support is launched.</w:t>
            </w:r>
          </w:p>
        </w:tc>
        <w:tc>
          <w:tcPr>
            <w:tcW w:w="5228" w:type="dxa"/>
          </w:tcPr>
          <w:p w14:paraId="38424972" w14:textId="150628F8" w:rsidR="00676C3B" w:rsidRPr="00C16208" w:rsidRDefault="00676C3B" w:rsidP="00676C3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 xml:space="preserve">Design and facilitate any agreed development sessions for freelancer practitioners delivering work for MMM as part of the sustained improvement off quality </w:t>
            </w:r>
          </w:p>
        </w:tc>
      </w:tr>
      <w:tr w:rsidR="00676C3B" w:rsidRPr="00C16208" w14:paraId="6FEA6096" w14:textId="77777777" w:rsidTr="006C08DB">
        <w:tc>
          <w:tcPr>
            <w:tcW w:w="5228" w:type="dxa"/>
          </w:tcPr>
          <w:p w14:paraId="08DB76F9" w14:textId="2270C281" w:rsidR="00676C3B" w:rsidRPr="00C16208" w:rsidRDefault="00676C3B" w:rsidP="00676C3B">
            <w:pPr>
              <w:spacing w:before="60" w:after="60"/>
              <w:rPr>
                <w:rFonts w:ascii="Apercu Light" w:hAnsi="Apercu Light"/>
                <w:color w:val="000000"/>
              </w:rPr>
            </w:pPr>
            <w:r w:rsidRPr="00C16208">
              <w:rPr>
                <w:rFonts w:ascii="Apercu Light" w:hAnsi="Apercu Light"/>
                <w:color w:val="000000"/>
              </w:rPr>
              <w:t>Advise on the appropriate delivery model for new activities — including whether direct delivery, freelance practitioner engagement, or third-party commissioning is most appropriate from a clinical governance perspective</w:t>
            </w:r>
          </w:p>
        </w:tc>
        <w:tc>
          <w:tcPr>
            <w:tcW w:w="5228" w:type="dxa"/>
          </w:tcPr>
          <w:p w14:paraId="666FF3D7" w14:textId="285E7F6C" w:rsidR="00676C3B" w:rsidRPr="00C16208" w:rsidRDefault="00676C3B" w:rsidP="00676C3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Provide clinical oversight of any commissioned third-party services, setting and evaluating clinical standards within commissioning processes and reviewing delivery against those standards.</w:t>
            </w:r>
          </w:p>
        </w:tc>
      </w:tr>
      <w:tr w:rsidR="00676C3B" w:rsidRPr="00C16208" w14:paraId="51DCAD80" w14:textId="77777777" w:rsidTr="006C08DB">
        <w:tc>
          <w:tcPr>
            <w:tcW w:w="5228" w:type="dxa"/>
          </w:tcPr>
          <w:p w14:paraId="131BFD03" w14:textId="45A3EC60" w:rsidR="00676C3B" w:rsidRPr="00C16208" w:rsidRDefault="00676C3B" w:rsidP="00676C3B">
            <w:pPr>
              <w:spacing w:before="60" w:after="60"/>
              <w:rPr>
                <w:rFonts w:ascii="Apercu Light" w:hAnsi="Apercu Light"/>
              </w:rPr>
            </w:pPr>
            <w:r w:rsidRPr="00C16208">
              <w:rPr>
                <w:rFonts w:ascii="Apercu Light" w:hAnsi="Apercu Light"/>
                <w:color w:val="000000"/>
              </w:rPr>
              <w:t xml:space="preserve">Undertake service quality audits/spot checks on a scheduled basis (e.g. attending a training session or group) and make recommendations for improvement – MMM has a streamlined support offer, and this is not expected to require more than a review of a support area every two months, some spot-checks could also be delegated to the team, reporting to the Clinical Advisor if this is a recommended way of working by the Advisor </w:t>
            </w:r>
          </w:p>
        </w:tc>
        <w:tc>
          <w:tcPr>
            <w:tcW w:w="5228" w:type="dxa"/>
          </w:tcPr>
          <w:p w14:paraId="33C619E8" w14:textId="17336ADB" w:rsidR="00676C3B" w:rsidRPr="00C16208" w:rsidRDefault="00676C3B" w:rsidP="00676C3B">
            <w:pPr>
              <w:pStyle w:val="Heading2"/>
              <w:spacing w:before="0" w:after="0"/>
              <w:rPr>
                <w:rFonts w:ascii="Apercu Light" w:hAnsi="Apercu Light"/>
                <w:b w:val="0"/>
                <w:bCs w:val="0"/>
                <w:sz w:val="22"/>
                <w:szCs w:val="22"/>
              </w:rPr>
            </w:pPr>
          </w:p>
        </w:tc>
      </w:tr>
      <w:tr w:rsidR="00676C3B" w:rsidRPr="00C16208" w14:paraId="075CBB8D" w14:textId="77777777" w:rsidTr="006C08DB">
        <w:tc>
          <w:tcPr>
            <w:tcW w:w="5228" w:type="dxa"/>
          </w:tcPr>
          <w:p w14:paraId="0678448A" w14:textId="7002E052" w:rsidR="00676C3B" w:rsidRPr="00C16208" w:rsidRDefault="00676C3B" w:rsidP="00676C3B">
            <w:pPr>
              <w:spacing w:before="60" w:after="60"/>
              <w:rPr>
                <w:rFonts w:ascii="Apercu Light" w:hAnsi="Apercu Light"/>
                <w:color w:val="000000"/>
              </w:rPr>
            </w:pPr>
            <w:r w:rsidRPr="00C16208">
              <w:rPr>
                <w:rFonts w:ascii="Apercu Light" w:hAnsi="Apercu Light"/>
                <w:color w:val="000000"/>
              </w:rPr>
              <w:t>Review feedback and evaluation data from MMM support on a scheduled basis and make recommendations for improvement – could be pre-scheduled to e.g. three times per year</w:t>
            </w:r>
          </w:p>
        </w:tc>
        <w:tc>
          <w:tcPr>
            <w:tcW w:w="5228" w:type="dxa"/>
          </w:tcPr>
          <w:p w14:paraId="4EEA2365" w14:textId="77777777" w:rsidR="00676C3B" w:rsidRPr="00C16208" w:rsidRDefault="00676C3B" w:rsidP="006C08DB">
            <w:pPr>
              <w:pStyle w:val="Heading2"/>
              <w:spacing w:before="0" w:after="0"/>
              <w:rPr>
                <w:rFonts w:ascii="Apercu Light" w:hAnsi="Apercu Light"/>
                <w:sz w:val="22"/>
                <w:szCs w:val="22"/>
              </w:rPr>
            </w:pPr>
          </w:p>
        </w:tc>
      </w:tr>
      <w:tr w:rsidR="00676C3B" w:rsidRPr="00C16208" w14:paraId="133400E7" w14:textId="77777777" w:rsidTr="006C08DB">
        <w:tc>
          <w:tcPr>
            <w:tcW w:w="5228" w:type="dxa"/>
          </w:tcPr>
          <w:p w14:paraId="213C82F4" w14:textId="09CF9D3C" w:rsidR="00676C3B" w:rsidRPr="00C16208" w:rsidRDefault="00676C3B" w:rsidP="00676C3B">
            <w:pPr>
              <w:spacing w:before="60" w:after="60"/>
              <w:rPr>
                <w:rFonts w:ascii="Apercu Light" w:hAnsi="Apercu Light"/>
                <w:color w:val="000000"/>
              </w:rPr>
            </w:pPr>
            <w:r w:rsidRPr="00C16208">
              <w:rPr>
                <w:rFonts w:ascii="Apercu Light" w:hAnsi="Apercu Light"/>
                <w:color w:val="000000"/>
              </w:rPr>
              <w:t xml:space="preserve">Advise on development and improvement of evaluation and feedback tools for MMM, proposing most suitable measures to use – would only be reviewing evaluation of one service at a time and team would draft proposed approaches for review </w:t>
            </w:r>
          </w:p>
        </w:tc>
        <w:tc>
          <w:tcPr>
            <w:tcW w:w="5228" w:type="dxa"/>
          </w:tcPr>
          <w:p w14:paraId="29789D37" w14:textId="77777777" w:rsidR="00676C3B" w:rsidRPr="00C16208" w:rsidRDefault="00676C3B" w:rsidP="006C08DB">
            <w:pPr>
              <w:pStyle w:val="Heading2"/>
              <w:spacing w:before="0" w:after="0"/>
              <w:rPr>
                <w:rFonts w:ascii="Apercu Light" w:hAnsi="Apercu Light"/>
                <w:sz w:val="22"/>
                <w:szCs w:val="22"/>
              </w:rPr>
            </w:pPr>
          </w:p>
        </w:tc>
      </w:tr>
      <w:tr w:rsidR="00676C3B" w:rsidRPr="00C16208" w14:paraId="13493947" w14:textId="77777777" w:rsidTr="006C08DB">
        <w:tc>
          <w:tcPr>
            <w:tcW w:w="5228" w:type="dxa"/>
          </w:tcPr>
          <w:p w14:paraId="57EE7952" w14:textId="7AF6CA3A" w:rsidR="00676C3B" w:rsidRPr="00C16208" w:rsidRDefault="00676C3B" w:rsidP="006C08DB">
            <w:pPr>
              <w:spacing w:before="60" w:after="60"/>
              <w:rPr>
                <w:rFonts w:ascii="Apercu Light" w:hAnsi="Apercu Light"/>
              </w:rPr>
            </w:pPr>
            <w:r w:rsidRPr="00C16208">
              <w:rPr>
                <w:rFonts w:ascii="Apercu Light" w:hAnsi="Apercu Light"/>
                <w:color w:val="000000"/>
              </w:rPr>
              <w:t xml:space="preserve">Maintain the scope of induction and quality (not clinical) supervision for freelance practitioners working for MMM, and review and approve induction materials if these are updated in line with Advisor recommendations </w:t>
            </w:r>
          </w:p>
        </w:tc>
        <w:tc>
          <w:tcPr>
            <w:tcW w:w="5228" w:type="dxa"/>
          </w:tcPr>
          <w:p w14:paraId="72B134F3" w14:textId="77777777" w:rsidR="00676C3B" w:rsidRPr="00C16208" w:rsidRDefault="00676C3B" w:rsidP="006C08DB">
            <w:pPr>
              <w:pStyle w:val="Heading2"/>
              <w:spacing w:before="0" w:after="0"/>
              <w:rPr>
                <w:rFonts w:ascii="Apercu Light" w:hAnsi="Apercu Light"/>
                <w:sz w:val="22"/>
                <w:szCs w:val="22"/>
              </w:rPr>
            </w:pPr>
          </w:p>
        </w:tc>
      </w:tr>
      <w:tr w:rsidR="00676C3B" w:rsidRPr="00C16208" w14:paraId="1769FA5B" w14:textId="77777777" w:rsidTr="006C08DB">
        <w:tc>
          <w:tcPr>
            <w:tcW w:w="5228" w:type="dxa"/>
          </w:tcPr>
          <w:p w14:paraId="49F0329F" w14:textId="45ADC0AD" w:rsidR="00676C3B" w:rsidRPr="00C16208" w:rsidRDefault="00676C3B" w:rsidP="006C08DB">
            <w:pPr>
              <w:spacing w:before="60" w:after="60"/>
              <w:rPr>
                <w:rFonts w:ascii="Apercu Light" w:hAnsi="Apercu Light"/>
                <w:color w:val="000000"/>
              </w:rPr>
            </w:pPr>
            <w:r w:rsidRPr="00C16208">
              <w:rPr>
                <w:rFonts w:ascii="Apercu Light" w:hAnsi="Apercu Light"/>
                <w:color w:val="000000"/>
              </w:rPr>
              <w:lastRenderedPageBreak/>
              <w:t xml:space="preserve">Contribute clinical perspectives and mental health expertise to strategic planning for Music Minds Matter, enabling the charity to develop approaches that are both impactful and safe – this would be via a twice yearly, pre-scheduled Executive meeting </w:t>
            </w:r>
          </w:p>
        </w:tc>
        <w:tc>
          <w:tcPr>
            <w:tcW w:w="5228" w:type="dxa"/>
          </w:tcPr>
          <w:p w14:paraId="1ED2C8B1" w14:textId="77777777" w:rsidR="00676C3B" w:rsidRPr="00C16208" w:rsidRDefault="00676C3B" w:rsidP="006C08DB">
            <w:pPr>
              <w:pStyle w:val="Heading2"/>
              <w:spacing w:before="0" w:after="0"/>
              <w:rPr>
                <w:rFonts w:ascii="Apercu Light" w:hAnsi="Apercu Light"/>
                <w:sz w:val="22"/>
                <w:szCs w:val="22"/>
              </w:rPr>
            </w:pPr>
          </w:p>
        </w:tc>
      </w:tr>
      <w:tr w:rsidR="00676C3B" w:rsidRPr="00C16208" w14:paraId="62112D8D" w14:textId="77777777" w:rsidTr="009D4A14">
        <w:tc>
          <w:tcPr>
            <w:tcW w:w="10456" w:type="dxa"/>
            <w:gridSpan w:val="2"/>
          </w:tcPr>
          <w:p w14:paraId="0E3D55CC" w14:textId="6D72837A" w:rsidR="00676C3B" w:rsidRPr="00C16208" w:rsidRDefault="00676C3B" w:rsidP="006C08DB">
            <w:pPr>
              <w:pStyle w:val="Heading2"/>
              <w:spacing w:before="0" w:after="0"/>
              <w:rPr>
                <w:rFonts w:ascii="Apercu Light" w:hAnsi="Apercu Light"/>
                <w:sz w:val="22"/>
                <w:szCs w:val="22"/>
              </w:rPr>
            </w:pPr>
            <w:r w:rsidRPr="00C16208">
              <w:rPr>
                <w:rFonts w:ascii="Apercu Light" w:hAnsi="Apercu Light"/>
                <w:sz w:val="22"/>
                <w:szCs w:val="22"/>
              </w:rPr>
              <w:t xml:space="preserve">Area 3: </w:t>
            </w:r>
            <w:proofErr w:type="spellStart"/>
            <w:r w:rsidRPr="00C16208">
              <w:rPr>
                <w:rFonts w:ascii="Apercu Light" w:hAnsi="Apercu Light"/>
                <w:sz w:val="22"/>
                <w:szCs w:val="22"/>
              </w:rPr>
              <w:t>Safegurdaing</w:t>
            </w:r>
            <w:proofErr w:type="spellEnd"/>
            <w:r w:rsidRPr="00C16208">
              <w:rPr>
                <w:rFonts w:ascii="Apercu Light" w:hAnsi="Apercu Light"/>
                <w:sz w:val="22"/>
                <w:szCs w:val="22"/>
              </w:rPr>
              <w:t xml:space="preserve"> and risk management </w:t>
            </w:r>
          </w:p>
        </w:tc>
      </w:tr>
      <w:tr w:rsidR="00676C3B" w:rsidRPr="00C16208" w14:paraId="5CAD242B" w14:textId="77777777" w:rsidTr="006C08DB">
        <w:tc>
          <w:tcPr>
            <w:tcW w:w="5228" w:type="dxa"/>
          </w:tcPr>
          <w:p w14:paraId="2F034F63" w14:textId="4A2F1B24" w:rsidR="00676C3B" w:rsidRPr="00C16208" w:rsidRDefault="00676C3B" w:rsidP="00676C3B">
            <w:pPr>
              <w:spacing w:before="60" w:after="60"/>
              <w:rPr>
                <w:rFonts w:ascii="Apercu Light" w:hAnsi="Apercu Light"/>
              </w:rPr>
            </w:pPr>
            <w:r w:rsidRPr="00C16208">
              <w:rPr>
                <w:rFonts w:ascii="Apercu Light" w:hAnsi="Apercu Light"/>
                <w:color w:val="000000"/>
              </w:rPr>
              <w:t>Review completed incident reports on at least a quarterly basis and advise on learning, systemic issues, and any changes to practice or policy indicated by incident patterns.</w:t>
            </w:r>
          </w:p>
        </w:tc>
        <w:tc>
          <w:tcPr>
            <w:tcW w:w="5228" w:type="dxa"/>
          </w:tcPr>
          <w:p w14:paraId="2D09667A" w14:textId="53DDF1A3" w:rsidR="00676C3B" w:rsidRPr="00C16208" w:rsidRDefault="00676C3B" w:rsidP="00676C3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Provide expert clinical advice to the CEO and Designated Safeguarding Lead in response to Serious Incidents, complex safeguarding situations, or cases where a participant's clinical needs raise governance or duty of care questions. For the avoidance of doubt, the Clinical Adviser function is a post-event review and advisory role — the named adviser is not expected to be on call or to provide real-time clinical input during live incidents. Responsibility for managing live incidents rests with MMM's staff and the protocols set out in MMM's Mental Health Incident Policy.</w:t>
            </w:r>
          </w:p>
        </w:tc>
      </w:tr>
      <w:tr w:rsidR="00676C3B" w:rsidRPr="00C16208" w14:paraId="2C4A3FD3" w14:textId="77777777" w:rsidTr="006C08DB">
        <w:tc>
          <w:tcPr>
            <w:tcW w:w="5228" w:type="dxa"/>
          </w:tcPr>
          <w:p w14:paraId="0148140A" w14:textId="25E982BF" w:rsidR="00676C3B" w:rsidRPr="00C16208" w:rsidRDefault="00676C3B" w:rsidP="00676C3B">
            <w:pPr>
              <w:spacing w:before="60" w:after="60"/>
              <w:rPr>
                <w:rFonts w:ascii="Apercu Light" w:hAnsi="Apercu Light"/>
              </w:rPr>
            </w:pPr>
            <w:r w:rsidRPr="00C16208">
              <w:rPr>
                <w:rFonts w:ascii="Apercu Light" w:hAnsi="Apercu Light"/>
                <w:color w:val="000000"/>
              </w:rPr>
              <w:t xml:space="preserve">Maintain MMM’s tiered risk response framework, including its adequacy for the range of activities MMM delivers, and recommend updates </w:t>
            </w:r>
            <w:proofErr w:type="gramStart"/>
            <w:r w:rsidRPr="00C16208">
              <w:rPr>
                <w:rFonts w:ascii="Apercu Light" w:hAnsi="Apercu Light"/>
                <w:color w:val="000000"/>
              </w:rPr>
              <w:t>in light of</w:t>
            </w:r>
            <w:proofErr w:type="gramEnd"/>
            <w:r w:rsidRPr="00C16208">
              <w:rPr>
                <w:rFonts w:ascii="Apercu Light" w:hAnsi="Apercu Light"/>
                <w:color w:val="000000"/>
              </w:rPr>
              <w:t xml:space="preserve"> operational experience or changes to MMM's activity portfolio.</w:t>
            </w:r>
          </w:p>
        </w:tc>
        <w:tc>
          <w:tcPr>
            <w:tcW w:w="5228" w:type="dxa"/>
          </w:tcPr>
          <w:p w14:paraId="45356400" w14:textId="048BE73D" w:rsidR="00676C3B" w:rsidRPr="00C16208" w:rsidRDefault="00676C3B" w:rsidP="00676C3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Support post-incident review processes, contributing clinical expertise to the analysis of what occurred and what changes are required.</w:t>
            </w:r>
          </w:p>
        </w:tc>
      </w:tr>
      <w:tr w:rsidR="00676C3B" w:rsidRPr="00C16208" w14:paraId="6CD3BA0D" w14:textId="77777777" w:rsidTr="006C08DB">
        <w:tc>
          <w:tcPr>
            <w:tcW w:w="5228" w:type="dxa"/>
          </w:tcPr>
          <w:p w14:paraId="034592BD" w14:textId="77777777" w:rsidR="00676C3B" w:rsidRPr="00C16208" w:rsidRDefault="00676C3B" w:rsidP="00676C3B">
            <w:pPr>
              <w:spacing w:before="60" w:after="60"/>
              <w:rPr>
                <w:rFonts w:ascii="Apercu Light" w:hAnsi="Apercu Light"/>
                <w:color w:val="000000"/>
              </w:rPr>
            </w:pPr>
          </w:p>
        </w:tc>
        <w:tc>
          <w:tcPr>
            <w:tcW w:w="5228" w:type="dxa"/>
          </w:tcPr>
          <w:p w14:paraId="1F1B13CF" w14:textId="0632CDA7" w:rsidR="00676C3B" w:rsidRPr="00C16208" w:rsidRDefault="00676C3B" w:rsidP="00676C3B">
            <w:pPr>
              <w:pStyle w:val="Heading2"/>
              <w:spacing w:before="0" w:after="0"/>
              <w:rPr>
                <w:rFonts w:ascii="Apercu Light" w:hAnsi="Apercu Light"/>
                <w:b w:val="0"/>
                <w:bCs w:val="0"/>
                <w:sz w:val="22"/>
                <w:szCs w:val="22"/>
              </w:rPr>
            </w:pPr>
            <w:r w:rsidRPr="00C16208">
              <w:rPr>
                <w:rFonts w:ascii="Apercu Light" w:hAnsi="Apercu Light"/>
                <w:b w:val="0"/>
                <w:bCs w:val="0"/>
                <w:sz w:val="22"/>
                <w:szCs w:val="22"/>
              </w:rPr>
              <w:t xml:space="preserve">Conduct post-incident de-briefs with groups or individual staff members affected where needed </w:t>
            </w:r>
          </w:p>
        </w:tc>
      </w:tr>
      <w:tr w:rsidR="00676C3B" w:rsidRPr="00C16208" w14:paraId="7DEA69B7" w14:textId="77777777" w:rsidTr="009C1DA9">
        <w:tc>
          <w:tcPr>
            <w:tcW w:w="10456" w:type="dxa"/>
            <w:gridSpan w:val="2"/>
          </w:tcPr>
          <w:p w14:paraId="226AFFF7" w14:textId="02CE2B22" w:rsidR="00676C3B" w:rsidRPr="00C16208" w:rsidRDefault="00676C3B" w:rsidP="006C08DB">
            <w:pPr>
              <w:pStyle w:val="Heading2"/>
              <w:spacing w:before="0" w:after="0"/>
              <w:rPr>
                <w:rFonts w:ascii="Apercu Light" w:hAnsi="Apercu Light"/>
                <w:sz w:val="22"/>
                <w:szCs w:val="22"/>
              </w:rPr>
            </w:pPr>
            <w:r w:rsidRPr="00C16208">
              <w:rPr>
                <w:rFonts w:ascii="Apercu Light" w:hAnsi="Apercu Light"/>
                <w:sz w:val="22"/>
                <w:szCs w:val="22"/>
              </w:rPr>
              <w:t xml:space="preserve">Area 4: Training and development </w:t>
            </w:r>
          </w:p>
        </w:tc>
      </w:tr>
      <w:tr w:rsidR="00676C3B" w:rsidRPr="00C16208" w14:paraId="5C92CDE8" w14:textId="77777777" w:rsidTr="006C08DB">
        <w:tc>
          <w:tcPr>
            <w:tcW w:w="5228" w:type="dxa"/>
          </w:tcPr>
          <w:p w14:paraId="62A1207A" w14:textId="6A14F58F" w:rsidR="00676C3B" w:rsidRPr="00C16208" w:rsidRDefault="00676C3B" w:rsidP="006C08DB">
            <w:pPr>
              <w:spacing w:before="60" w:after="60"/>
              <w:rPr>
                <w:rFonts w:ascii="Apercu Light" w:hAnsi="Apercu Light"/>
              </w:rPr>
            </w:pPr>
            <w:r w:rsidRPr="00C16208">
              <w:rPr>
                <w:rFonts w:ascii="Apercu Light" w:hAnsi="Apercu Light"/>
                <w:color w:val="000000"/>
              </w:rPr>
              <w:t>Maintain the training and development requirements for MMM staff, freelance practitioners and volunteers, including safeguarding training levels, mental health first aid requirements, and awareness of clinical boundaries.</w:t>
            </w:r>
          </w:p>
        </w:tc>
        <w:tc>
          <w:tcPr>
            <w:tcW w:w="5228" w:type="dxa"/>
          </w:tcPr>
          <w:p w14:paraId="1F4133BC" w14:textId="77777777" w:rsidR="00676C3B" w:rsidRPr="00C16208" w:rsidRDefault="00676C3B" w:rsidP="00676C3B">
            <w:pPr>
              <w:spacing w:before="60" w:after="60"/>
              <w:rPr>
                <w:rFonts w:ascii="Apercu Light" w:hAnsi="Apercu Light"/>
              </w:rPr>
            </w:pPr>
            <w:r w:rsidRPr="00C16208">
              <w:rPr>
                <w:rFonts w:ascii="Apercu Light" w:hAnsi="Apercu Light"/>
                <w:color w:val="000000"/>
              </w:rPr>
              <w:t>Contribute to internal training or briefing sessions for MMM staff on clinical governance topics.</w:t>
            </w:r>
          </w:p>
          <w:p w14:paraId="5A67D63D" w14:textId="77777777" w:rsidR="00676C3B" w:rsidRPr="00C16208" w:rsidRDefault="00676C3B" w:rsidP="006C08DB">
            <w:pPr>
              <w:pStyle w:val="Heading2"/>
              <w:spacing w:before="0" w:after="0"/>
              <w:rPr>
                <w:rFonts w:ascii="Apercu Light" w:hAnsi="Apercu Light"/>
                <w:sz w:val="22"/>
                <w:szCs w:val="22"/>
              </w:rPr>
            </w:pPr>
          </w:p>
        </w:tc>
      </w:tr>
    </w:tbl>
    <w:p w14:paraId="0AC4EF59" w14:textId="27EA6565" w:rsidR="006A7F35" w:rsidRPr="00C16208" w:rsidRDefault="00EB0017">
      <w:pPr>
        <w:pStyle w:val="Heading1"/>
        <w:rPr>
          <w:rFonts w:ascii="Apercu Light" w:hAnsi="Apercu Light"/>
          <w:sz w:val="22"/>
          <w:szCs w:val="22"/>
        </w:rPr>
      </w:pPr>
      <w:r w:rsidRPr="00C16208">
        <w:rPr>
          <w:rFonts w:ascii="Apercu Light" w:hAnsi="Apercu Light"/>
          <w:sz w:val="22"/>
          <w:szCs w:val="22"/>
        </w:rPr>
        <w:t>5.</w:t>
      </w:r>
      <w:r w:rsidR="0048639F" w:rsidRPr="00C16208">
        <w:rPr>
          <w:rFonts w:ascii="Apercu Light" w:hAnsi="Apercu Light"/>
          <w:sz w:val="22"/>
          <w:szCs w:val="22"/>
        </w:rPr>
        <w:t xml:space="preserve"> Requirements </w:t>
      </w:r>
      <w:r w:rsidR="00676C3B" w:rsidRPr="00C16208">
        <w:rPr>
          <w:rFonts w:ascii="Apercu Light" w:hAnsi="Apercu Light"/>
          <w:sz w:val="22"/>
          <w:szCs w:val="22"/>
        </w:rPr>
        <w:t xml:space="preserve">for the named Clinical Advisor </w:t>
      </w:r>
    </w:p>
    <w:p w14:paraId="7D3769C7" w14:textId="5D73D86C" w:rsidR="006A7F35" w:rsidRPr="00C16208" w:rsidRDefault="00EB0017" w:rsidP="0048639F">
      <w:pPr>
        <w:spacing w:before="80" w:after="80"/>
        <w:jc w:val="both"/>
        <w:rPr>
          <w:rFonts w:ascii="Apercu Light" w:hAnsi="Apercu Light"/>
        </w:rPr>
      </w:pPr>
      <w:r w:rsidRPr="00C16208">
        <w:rPr>
          <w:rFonts w:ascii="Apercu Light" w:hAnsi="Apercu Light"/>
          <w:color w:val="000000"/>
        </w:rPr>
        <w:t xml:space="preserve">Whether responding as an organisation or as an individual, the named Clinical Adviser must demonstrate the following. Where an organisation is responding, these criteria apply to the individual who will fulfil the adviser function — not to the </w:t>
      </w:r>
      <w:proofErr w:type="gramStart"/>
      <w:r w:rsidRPr="00C16208">
        <w:rPr>
          <w:rFonts w:ascii="Apercu Light" w:hAnsi="Apercu Light"/>
          <w:color w:val="000000"/>
        </w:rPr>
        <w:t>organisation as a whole</w:t>
      </w:r>
      <w:proofErr w:type="gramEnd"/>
      <w:r w:rsidRPr="00C16208">
        <w:rPr>
          <w:rFonts w:ascii="Apercu Light" w:hAnsi="Apercu Light"/>
          <w:color w:val="000000"/>
        </w:rPr>
        <w:t>.</w:t>
      </w:r>
    </w:p>
    <w:p w14:paraId="51E1FD30"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5.1 Qualifications and professional registration (Essential)</w:t>
      </w:r>
    </w:p>
    <w:p w14:paraId="65BB0B0E"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Qualified to at least postgraduate level in a mental health discipline (e.g. counselling, clinical or counselling psychology, psychotherapy, psychiatry, mental health nursing, or social work with a mental health specialism)</w:t>
      </w:r>
    </w:p>
    <w:p w14:paraId="53A3F226"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lastRenderedPageBreak/>
        <w:t>Current, valid registration with a relevant regulatory or professional body — e.g. HCPC (as Practitioner Psychologist or Social Worker), BACP (Accredited member), UKCP, BPS (Chartered Psychologist), NMC, or GMC</w:t>
      </w:r>
    </w:p>
    <w:p w14:paraId="538D8261"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Evidence of training or CPD in clinical governance, risk management, or clinical leadership</w:t>
      </w:r>
    </w:p>
    <w:p w14:paraId="76CFB6A0"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Current safeguarding training at Level 3 or above (adults)</w:t>
      </w:r>
    </w:p>
    <w:p w14:paraId="5F85B25E"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5.2 Experience (Essential for the named adviser)</w:t>
      </w:r>
    </w:p>
    <w:p w14:paraId="2718A202"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Significant post-qualification clinical experience in mental health (minimum 5 years), including direct work with adults experiencing anxiety, depression, and/or complex mental health presentations</w:t>
      </w:r>
    </w:p>
    <w:p w14:paraId="770BE2BE"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Direct professional experience of working with musicians and/or music industry professionals — this criterion must be met by the named adviser personally. Where an organisation is responding, it is not sufficient for sector experience to reside elsewhere in the organisation; the individual who will fulfil the function must be able to demonstrate their own direct experience of the sector and an understanding of the specific mental health challenges it presents</w:t>
      </w:r>
    </w:p>
    <w:p w14:paraId="1E067FD2"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Experience of contributing to clinical governance in a service, charity, or healthcare organisation — e.g. as a clinical lead, named supervisor, governance committee member, or equivalent</w:t>
      </w:r>
    </w:p>
    <w:p w14:paraId="7A626B3C"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Experience of reviewing clinical content, policy, or guidance documents and advising on clinical appropriateness and evidence base</w:t>
      </w:r>
    </w:p>
    <w:p w14:paraId="2CB8D5BC"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Experience of responding to clinical incidents, near-misses, or safeguarding situations in a professional context</w:t>
      </w:r>
    </w:p>
    <w:p w14:paraId="0874F27C"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5.3 Knowledge and skills (Essential)</w:t>
      </w:r>
    </w:p>
    <w:p w14:paraId="098728EF"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Sound knowledge of the regulatory landscape for mental health services in England, including CQC regulated activities, the distinction between clinical and non-clinical provision, and the obligations of non-registered providers</w:t>
      </w:r>
    </w:p>
    <w:p w14:paraId="213A20E8"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Knowledge of the Charity Commission's expectations of charities delivering or commissioning health-related services</w:t>
      </w:r>
    </w:p>
    <w:p w14:paraId="4E0D3414"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Ability to form and communicate independent clinical opinions clearly and confidently, including where these may challenge organisational assumptions</w:t>
      </w:r>
    </w:p>
    <w:p w14:paraId="6B93CE43"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Ability to work effectively in a remote, sessional capacity with a small staff team, building trust and maintaining productive relationships without day-to-day presence</w:t>
      </w:r>
    </w:p>
    <w:p w14:paraId="2292AF1D"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5.4 For organisations — additional requirements</w:t>
      </w:r>
    </w:p>
    <w:p w14:paraId="7054A36E" w14:textId="77777777" w:rsidR="006A7F35" w:rsidRPr="00C16208" w:rsidRDefault="00EB0017">
      <w:pPr>
        <w:spacing w:before="80" w:after="80"/>
        <w:jc w:val="both"/>
        <w:rPr>
          <w:rFonts w:ascii="Apercu Light" w:hAnsi="Apercu Light"/>
        </w:rPr>
      </w:pPr>
      <w:r w:rsidRPr="00C16208">
        <w:rPr>
          <w:rFonts w:ascii="Apercu Light" w:hAnsi="Apercu Light"/>
          <w:color w:val="000000"/>
        </w:rPr>
        <w:t>Where an organisation is responding to this invitation on the basis that the named adviser would be provided on secondment or as part of a service arrangement, the response should additionally address:</w:t>
      </w:r>
    </w:p>
    <w:p w14:paraId="7A0EA021" w14:textId="217BBA5B"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 xml:space="preserve">How the named adviser's independence from any </w:t>
      </w:r>
      <w:r w:rsidR="0048639F" w:rsidRPr="00C16208">
        <w:rPr>
          <w:rFonts w:ascii="Apercu Light" w:hAnsi="Apercu Light"/>
          <w:color w:val="000000"/>
        </w:rPr>
        <w:t xml:space="preserve">potential future </w:t>
      </w:r>
      <w:r w:rsidRPr="00C16208">
        <w:rPr>
          <w:rFonts w:ascii="Apercu Light" w:hAnsi="Apercu Light"/>
          <w:color w:val="000000"/>
        </w:rPr>
        <w:t>MMM service delivery activity w</w:t>
      </w:r>
      <w:r w:rsidR="0048639F" w:rsidRPr="00C16208">
        <w:rPr>
          <w:rFonts w:ascii="Apercu Light" w:hAnsi="Apercu Light"/>
          <w:color w:val="000000"/>
        </w:rPr>
        <w:t xml:space="preserve">ould </w:t>
      </w:r>
      <w:r w:rsidRPr="00C16208">
        <w:rPr>
          <w:rFonts w:ascii="Apercu Light" w:hAnsi="Apercu Light"/>
          <w:color w:val="000000"/>
        </w:rPr>
        <w:t>be maintained, including any internal separation arrangements within the organisation</w:t>
      </w:r>
    </w:p>
    <w:p w14:paraId="1A210A92"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color w:val="000000"/>
        </w:rPr>
        <w:t>What support, supervision, and professional development infrastructure the named adviser would have access to through the organisation</w:t>
      </w:r>
    </w:p>
    <w:p w14:paraId="4D8D7039"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6. Independence Requirements</w:t>
      </w:r>
    </w:p>
    <w:p w14:paraId="0116F288" w14:textId="695E33D0" w:rsidR="006A7F35" w:rsidRPr="00C16208" w:rsidRDefault="00EB0017" w:rsidP="0048639F">
      <w:pPr>
        <w:spacing w:before="80" w:after="80"/>
        <w:jc w:val="both"/>
        <w:rPr>
          <w:rFonts w:ascii="Apercu Light" w:hAnsi="Apercu Light"/>
        </w:rPr>
      </w:pPr>
      <w:r w:rsidRPr="00C16208">
        <w:rPr>
          <w:rFonts w:ascii="Apercu Light" w:hAnsi="Apercu Light"/>
          <w:color w:val="000000"/>
        </w:rPr>
        <w:lastRenderedPageBreak/>
        <w:t>The independence of the Clinical Adviser is a governance requiremen</w:t>
      </w:r>
      <w:r w:rsidR="0048639F" w:rsidRPr="00C16208">
        <w:rPr>
          <w:rFonts w:ascii="Apercu Light" w:hAnsi="Apercu Light"/>
          <w:color w:val="000000"/>
        </w:rPr>
        <w:t>t and is maintained through the following guidelines:</w:t>
      </w:r>
    </w:p>
    <w:p w14:paraId="5A718F2E" w14:textId="77777777" w:rsidR="0048639F" w:rsidRPr="00C16208" w:rsidRDefault="0048639F" w:rsidP="0048639F">
      <w:pPr>
        <w:spacing w:before="80" w:after="80"/>
        <w:jc w:val="both"/>
        <w:rPr>
          <w:rFonts w:ascii="Apercu Light" w:hAnsi="Apercu Light"/>
        </w:rPr>
      </w:pPr>
    </w:p>
    <w:p w14:paraId="6863016D" w14:textId="4702418D"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b/>
          <w:bCs/>
          <w:color w:val="000000"/>
        </w:rPr>
        <w:t xml:space="preserve">No dual roles: </w:t>
      </w:r>
      <w:r w:rsidRPr="00C16208">
        <w:rPr>
          <w:rFonts w:ascii="Apercu Light" w:hAnsi="Apercu Light"/>
          <w:color w:val="000000"/>
        </w:rPr>
        <w:t xml:space="preserve">the named adviser must not hold any other paid or unpaid role with MMM, including as a trustee, employee, </w:t>
      </w:r>
      <w:r w:rsidR="0048639F" w:rsidRPr="00C16208">
        <w:rPr>
          <w:rFonts w:ascii="Apercu Light" w:hAnsi="Apercu Light"/>
          <w:color w:val="000000"/>
        </w:rPr>
        <w:t xml:space="preserve">contractor </w:t>
      </w:r>
      <w:r w:rsidRPr="00C16208">
        <w:rPr>
          <w:rFonts w:ascii="Apercu Light" w:hAnsi="Apercu Light"/>
          <w:color w:val="000000"/>
        </w:rPr>
        <w:t>or volunteer.</w:t>
      </w:r>
    </w:p>
    <w:p w14:paraId="393AB161"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b/>
          <w:bCs/>
          <w:color w:val="000000"/>
        </w:rPr>
        <w:t xml:space="preserve">No delivery of direct services by the named adviser: </w:t>
      </w:r>
      <w:r w:rsidRPr="00C16208">
        <w:rPr>
          <w:rFonts w:ascii="Apercu Light" w:hAnsi="Apercu Light"/>
          <w:color w:val="000000"/>
        </w:rPr>
        <w:t>the named adviser must not simultaneously be engaged to deliver any service directly to MMM's service users — for example, as a counsellor, therapist, psychoeducation facilitator, or helpline practitioner. This applies regardless of whether the engagement is through the same or a different organisation. This prohibition applies to the named individual and is absolute.</w:t>
      </w:r>
    </w:p>
    <w:p w14:paraId="1BB3A211"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b/>
          <w:bCs/>
          <w:color w:val="000000"/>
        </w:rPr>
        <w:t xml:space="preserve">Conflicts of interest: </w:t>
      </w:r>
      <w:r w:rsidRPr="00C16208">
        <w:rPr>
          <w:rFonts w:ascii="Apercu Light" w:hAnsi="Apercu Light"/>
          <w:color w:val="000000"/>
        </w:rPr>
        <w:t>any actual or potential conflicts of interest must be disclosed to MMM at the outset of the engagement and on an ongoing basis. MMM will maintain a register of declared interests.</w:t>
      </w:r>
    </w:p>
    <w:p w14:paraId="555D391F" w14:textId="77777777" w:rsidR="006A7F35" w:rsidRPr="00C16208" w:rsidRDefault="00EB0017">
      <w:pPr>
        <w:pStyle w:val="ListParagraph"/>
        <w:numPr>
          <w:ilvl w:val="0"/>
          <w:numId w:val="3"/>
        </w:numPr>
        <w:spacing w:before="60" w:after="60"/>
        <w:rPr>
          <w:rFonts w:ascii="Apercu Light" w:hAnsi="Apercu Light"/>
        </w:rPr>
      </w:pPr>
      <w:r w:rsidRPr="00C16208">
        <w:rPr>
          <w:rFonts w:ascii="Apercu Light" w:hAnsi="Apercu Light"/>
          <w:b/>
          <w:bCs/>
          <w:color w:val="000000"/>
        </w:rPr>
        <w:t xml:space="preserve">Professional indemnity: </w:t>
      </w:r>
      <w:r w:rsidRPr="00C16208">
        <w:rPr>
          <w:rFonts w:ascii="Apercu Light" w:hAnsi="Apercu Light"/>
          <w:color w:val="000000"/>
        </w:rPr>
        <w:t>the named adviser (or, where an organisation is responding, the organisation) must hold professional indemnity insurance appropriate to the advisory activities undertaken.</w:t>
      </w:r>
    </w:p>
    <w:p w14:paraId="69FCB612" w14:textId="628903D9" w:rsidR="006A7F35" w:rsidRPr="00C16208" w:rsidRDefault="00EB0017" w:rsidP="0048639F">
      <w:pPr>
        <w:pStyle w:val="ListParagraph"/>
        <w:numPr>
          <w:ilvl w:val="0"/>
          <w:numId w:val="3"/>
        </w:numPr>
        <w:spacing w:before="60" w:after="60"/>
        <w:rPr>
          <w:rFonts w:ascii="Apercu Light" w:hAnsi="Apercu Light"/>
        </w:rPr>
      </w:pPr>
      <w:r w:rsidRPr="00C16208">
        <w:rPr>
          <w:rFonts w:ascii="Apercu Light" w:hAnsi="Apercu Light"/>
          <w:b/>
          <w:bCs/>
          <w:color w:val="000000"/>
        </w:rPr>
        <w:t xml:space="preserve">Clinical supervision: </w:t>
      </w:r>
      <w:r w:rsidRPr="00C16208">
        <w:rPr>
          <w:rFonts w:ascii="Apercu Light" w:hAnsi="Apercu Light"/>
          <w:color w:val="000000"/>
        </w:rPr>
        <w:t>the named adviser must maintain their own clinical supervision appropriate to their professional registration obligations, independent of MMM.</w:t>
      </w:r>
    </w:p>
    <w:p w14:paraId="1EE1C91A"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6.1 Organisations that also deliver services to music industry professionals</w:t>
      </w:r>
    </w:p>
    <w:p w14:paraId="56ECA7E3" w14:textId="4CD4F041" w:rsidR="006A7F35" w:rsidRPr="00C16208" w:rsidRDefault="00EB0017">
      <w:pPr>
        <w:spacing w:before="80" w:after="80"/>
        <w:jc w:val="both"/>
        <w:rPr>
          <w:rFonts w:ascii="Apercu Light" w:hAnsi="Apercu Light"/>
        </w:rPr>
      </w:pPr>
      <w:r w:rsidRPr="00C16208">
        <w:rPr>
          <w:rFonts w:ascii="Apercu Light" w:hAnsi="Apercu Light"/>
          <w:color w:val="000000"/>
        </w:rPr>
        <w:t>MMM is open to receiving expressions of interest from organisations that also deliver — or intend to seek to deliver — clinical or support services to music industry professionals, including to MMM's service users</w:t>
      </w:r>
      <w:r w:rsidR="0048639F" w:rsidRPr="00C16208">
        <w:rPr>
          <w:rFonts w:ascii="Apercu Light" w:hAnsi="Apercu Light"/>
          <w:color w:val="000000"/>
        </w:rPr>
        <w:t xml:space="preserve"> via future separate delivery contracts</w:t>
      </w:r>
      <w:r w:rsidRPr="00C16208">
        <w:rPr>
          <w:rFonts w:ascii="Apercu Light" w:hAnsi="Apercu Light"/>
          <w:color w:val="000000"/>
        </w:rPr>
        <w:t>. We do not consider this a disqualifying factor in principle.</w:t>
      </w:r>
      <w:r w:rsidR="0048639F" w:rsidRPr="00C16208">
        <w:rPr>
          <w:rFonts w:ascii="Apercu Light" w:hAnsi="Apercu Light"/>
          <w:color w:val="000000"/>
        </w:rPr>
        <w:t xml:space="preserve"> However, the independence of the Clinical Advisor from any delivery must be absolute, meaning that:</w:t>
      </w:r>
    </w:p>
    <w:p w14:paraId="54565C2D" w14:textId="77777777" w:rsidR="006A7F35" w:rsidRPr="00C16208" w:rsidRDefault="006A7F35">
      <w:pPr>
        <w:spacing w:before="60" w:after="40"/>
        <w:rPr>
          <w:rFonts w:ascii="Apercu Light" w:hAnsi="Apercu Ligh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85"/>
      </w:tblGrid>
      <w:tr w:rsidR="006A7F35" w:rsidRPr="00C16208" w14:paraId="044174AE" w14:textId="77777777" w:rsidTr="0048639F">
        <w:tc>
          <w:tcPr>
            <w:tcW w:w="10485" w:type="dxa"/>
            <w:tcBorders>
              <w:top w:val="single" w:sz="1" w:space="0" w:color="000000"/>
              <w:left w:val="single" w:sz="4" w:space="0" w:color="000000"/>
              <w:bottom w:val="single" w:sz="1" w:space="0" w:color="000000"/>
              <w:right w:val="single" w:sz="1" w:space="0" w:color="000000"/>
            </w:tcBorders>
            <w:shd w:val="clear" w:color="auto" w:fill="F0F0F0"/>
            <w:tcMar>
              <w:top w:w="120" w:type="dxa"/>
              <w:left w:w="200" w:type="dxa"/>
              <w:bottom w:w="120" w:type="dxa"/>
              <w:right w:w="180" w:type="dxa"/>
            </w:tcMar>
          </w:tcPr>
          <w:p w14:paraId="101B1486" w14:textId="77777777" w:rsidR="006A7F35" w:rsidRPr="00C16208" w:rsidRDefault="00EB0017">
            <w:pPr>
              <w:spacing w:before="40" w:after="80"/>
              <w:rPr>
                <w:rFonts w:ascii="Apercu Light" w:hAnsi="Apercu Light"/>
              </w:rPr>
            </w:pPr>
            <w:r w:rsidRPr="00C16208">
              <w:rPr>
                <w:rFonts w:ascii="Apercu Light" w:hAnsi="Apercu Light"/>
                <w:b/>
                <w:bCs/>
                <w:color w:val="000000"/>
              </w:rPr>
              <w:t>Mandatory separation conditions — organisations holding both CA and delivery contracts</w:t>
            </w:r>
          </w:p>
          <w:p w14:paraId="79EF1AEA" w14:textId="77777777" w:rsidR="006A7F35" w:rsidRPr="00C16208" w:rsidRDefault="00EB0017">
            <w:pPr>
              <w:spacing w:before="40" w:after="40"/>
              <w:jc w:val="both"/>
              <w:rPr>
                <w:rFonts w:ascii="Apercu Light" w:hAnsi="Apercu Light"/>
              </w:rPr>
            </w:pPr>
            <w:r w:rsidRPr="00C16208">
              <w:rPr>
                <w:rFonts w:ascii="Apercu Light" w:hAnsi="Apercu Light"/>
                <w:color w:val="000000"/>
              </w:rPr>
              <w:t xml:space="preserve">1.  The named Clinical Adviser must </w:t>
            </w:r>
            <w:proofErr w:type="gramStart"/>
            <w:r w:rsidRPr="00C16208">
              <w:rPr>
                <w:rFonts w:ascii="Apercu Light" w:hAnsi="Apercu Light"/>
                <w:color w:val="000000"/>
              </w:rPr>
              <w:t>have no involvement</w:t>
            </w:r>
            <w:proofErr w:type="gramEnd"/>
            <w:r w:rsidRPr="00C16208">
              <w:rPr>
                <w:rFonts w:ascii="Apercu Light" w:hAnsi="Apercu Light"/>
                <w:color w:val="000000"/>
              </w:rPr>
              <w:t xml:space="preserve"> — direct or indirect — in the delivery of services to MMM's service users. This </w:t>
            </w:r>
            <w:proofErr w:type="gramStart"/>
            <w:r w:rsidRPr="00C16208">
              <w:rPr>
                <w:rFonts w:ascii="Apercu Light" w:hAnsi="Apercu Light"/>
                <w:color w:val="000000"/>
              </w:rPr>
              <w:t>includes:</w:t>
            </w:r>
            <w:proofErr w:type="gramEnd"/>
            <w:r w:rsidRPr="00C16208">
              <w:rPr>
                <w:rFonts w:ascii="Apercu Light" w:hAnsi="Apercu Light"/>
                <w:color w:val="000000"/>
              </w:rPr>
              <w:t xml:space="preserve"> providing therapy, counselling, facilitation, or training to service users; making or influencing referral decisions; providing clinical oversight of the delivery team's work; or holding any supervisory or managerial relationship with individuals delivering MMM services.</w:t>
            </w:r>
          </w:p>
          <w:p w14:paraId="64E872B9" w14:textId="77777777" w:rsidR="006A7F35" w:rsidRPr="00C16208" w:rsidRDefault="006A7F35">
            <w:pPr>
              <w:spacing w:before="40" w:after="40"/>
              <w:jc w:val="both"/>
              <w:rPr>
                <w:rFonts w:ascii="Apercu Light" w:hAnsi="Apercu Light"/>
              </w:rPr>
            </w:pPr>
          </w:p>
          <w:p w14:paraId="44861CD1" w14:textId="77777777" w:rsidR="006A7F35" w:rsidRPr="00C16208" w:rsidRDefault="00EB0017">
            <w:pPr>
              <w:spacing w:before="40" w:after="40"/>
              <w:jc w:val="both"/>
              <w:rPr>
                <w:rFonts w:ascii="Apercu Light" w:hAnsi="Apercu Light"/>
              </w:rPr>
            </w:pPr>
            <w:r w:rsidRPr="00C16208">
              <w:rPr>
                <w:rFonts w:ascii="Apercu Light" w:hAnsi="Apercu Light"/>
                <w:color w:val="000000"/>
              </w:rPr>
              <w:t>2.  Any delivery contract held by the organisation must be awarded through a separate, open tender process. Holding the Clinical Adviser function does not confer any preferential position in a delivery procurement, and MMM will not combine CA and delivery into a single contract or arrangement.</w:t>
            </w:r>
          </w:p>
          <w:p w14:paraId="680C5032" w14:textId="77777777" w:rsidR="006A7F35" w:rsidRPr="00C16208" w:rsidRDefault="006A7F35">
            <w:pPr>
              <w:spacing w:before="40" w:after="40"/>
              <w:jc w:val="both"/>
              <w:rPr>
                <w:rFonts w:ascii="Apercu Light" w:hAnsi="Apercu Light"/>
              </w:rPr>
            </w:pPr>
          </w:p>
          <w:p w14:paraId="3B6D78F0" w14:textId="77777777" w:rsidR="006A7F35" w:rsidRPr="00C16208" w:rsidRDefault="00EB0017">
            <w:pPr>
              <w:spacing w:before="40" w:after="40"/>
              <w:jc w:val="both"/>
              <w:rPr>
                <w:rFonts w:ascii="Apercu Light" w:hAnsi="Apercu Light"/>
              </w:rPr>
            </w:pPr>
            <w:r w:rsidRPr="00C16208">
              <w:rPr>
                <w:rFonts w:ascii="Apercu Light" w:hAnsi="Apercu Light"/>
                <w:color w:val="000000"/>
              </w:rPr>
              <w:t>3.  The organisation must describe in its expression of interest how internal separation between the CA function and any delivery activity will be maintained in practice — not merely in principle.</w:t>
            </w:r>
          </w:p>
          <w:p w14:paraId="71C562CE" w14:textId="77777777" w:rsidR="006A7F35" w:rsidRPr="00C16208" w:rsidRDefault="006A7F35">
            <w:pPr>
              <w:spacing w:before="40" w:after="40"/>
              <w:jc w:val="both"/>
              <w:rPr>
                <w:rFonts w:ascii="Apercu Light" w:hAnsi="Apercu Light"/>
              </w:rPr>
            </w:pPr>
          </w:p>
          <w:p w14:paraId="3C6C6DF3" w14:textId="77777777" w:rsidR="006A7F35" w:rsidRPr="00C16208" w:rsidRDefault="00EB0017">
            <w:pPr>
              <w:spacing w:before="40" w:after="40"/>
              <w:jc w:val="both"/>
              <w:rPr>
                <w:rFonts w:ascii="Apercu Light" w:hAnsi="Apercu Light"/>
              </w:rPr>
            </w:pPr>
            <w:r w:rsidRPr="00C16208">
              <w:rPr>
                <w:rFonts w:ascii="Apercu Light" w:hAnsi="Apercu Light"/>
                <w:color w:val="000000"/>
              </w:rPr>
              <w:t>4.  MMM reserves the right to terminate the Clinical Adviser engagement immediately if, in MMM's reasonable judgement, the separation described above is not being maintained. This right will be included as an express termination ground in the contract.</w:t>
            </w:r>
          </w:p>
          <w:p w14:paraId="26C2D986" w14:textId="77777777" w:rsidR="006A7F35" w:rsidRPr="00C16208" w:rsidRDefault="006A7F35">
            <w:pPr>
              <w:spacing w:before="40" w:after="40"/>
              <w:jc w:val="both"/>
              <w:rPr>
                <w:rFonts w:ascii="Apercu Light" w:hAnsi="Apercu Light"/>
              </w:rPr>
            </w:pPr>
          </w:p>
          <w:p w14:paraId="1C1F9FC8" w14:textId="77777777" w:rsidR="006A7F35" w:rsidRPr="00C16208" w:rsidRDefault="00EB0017">
            <w:pPr>
              <w:spacing w:before="40" w:after="40"/>
              <w:jc w:val="both"/>
              <w:rPr>
                <w:rFonts w:ascii="Apercu Light" w:hAnsi="Apercu Light"/>
              </w:rPr>
            </w:pPr>
            <w:r w:rsidRPr="00C16208">
              <w:rPr>
                <w:rFonts w:ascii="Apercu Light" w:hAnsi="Apercu Light"/>
                <w:color w:val="000000"/>
              </w:rPr>
              <w:lastRenderedPageBreak/>
              <w:t>5.  Any change in the organisation's delivery relationship with MMM — including a new bid for a delivery contract — must be disclosed to MMM promptly. MMM will assess whether the change affects the CA independence requirements.</w:t>
            </w:r>
          </w:p>
        </w:tc>
      </w:tr>
    </w:tbl>
    <w:p w14:paraId="5E25F374" w14:textId="77777777" w:rsidR="006A7F35" w:rsidRPr="00C16208" w:rsidRDefault="006A7F35">
      <w:pPr>
        <w:spacing w:before="80" w:after="40"/>
        <w:rPr>
          <w:rFonts w:ascii="Apercu Light" w:hAnsi="Apercu Light"/>
        </w:rPr>
      </w:pPr>
    </w:p>
    <w:p w14:paraId="2F5C2645" w14:textId="3561971E" w:rsidR="006A7F35" w:rsidRPr="00C16208" w:rsidRDefault="00EB0017" w:rsidP="0048639F">
      <w:pPr>
        <w:spacing w:before="80" w:after="80"/>
        <w:jc w:val="both"/>
        <w:rPr>
          <w:rFonts w:ascii="Apercu Light" w:hAnsi="Apercu Light"/>
        </w:rPr>
      </w:pPr>
      <w:r w:rsidRPr="00C16208">
        <w:rPr>
          <w:rFonts w:ascii="Apercu Light" w:hAnsi="Apercu Light"/>
          <w:color w:val="000000"/>
        </w:rPr>
        <w:t xml:space="preserve">MMM recognises that requiring this level of internal separation places a governance obligation on responding organisations, and we welcome questions about how this would work in practice before expressions of interest are submitted. </w:t>
      </w:r>
    </w:p>
    <w:p w14:paraId="7D34F8C2"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7. Working Arrangements</w:t>
      </w:r>
    </w:p>
    <w:p w14:paraId="292C0DFF" w14:textId="7BEF1AA2" w:rsidR="006A7F35" w:rsidRPr="00C16208" w:rsidRDefault="00EB0017" w:rsidP="0048639F">
      <w:pPr>
        <w:spacing w:before="80" w:after="80"/>
        <w:jc w:val="both"/>
        <w:rPr>
          <w:rFonts w:ascii="Apercu Light" w:hAnsi="Apercu Light"/>
        </w:rPr>
      </w:pPr>
      <w:r w:rsidRPr="00C16208">
        <w:rPr>
          <w:rFonts w:ascii="Apercu Light" w:hAnsi="Apercu Light"/>
          <w:color w:val="000000"/>
        </w:rPr>
        <w:t>The Clinical Adviser function will be engaged on a contractual basis — either as a self-employed individual contractor or as a service agreement with an organisation, depending on how the function is fulfilled. The engagement will be governed by a contract setting out the scope of work, fees, confidentiality obligations, independence requirements, and termination provisions.</w:t>
      </w:r>
    </w:p>
    <w:p w14:paraId="1A21C595"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7.1 Time commitment</w:t>
      </w:r>
    </w:p>
    <w:p w14:paraId="1CA5A5B8" w14:textId="46CAD1FD" w:rsidR="006A7F35" w:rsidRPr="00C16208" w:rsidRDefault="00EB0017">
      <w:pPr>
        <w:spacing w:before="80" w:after="80"/>
        <w:jc w:val="both"/>
        <w:rPr>
          <w:rFonts w:ascii="Apercu Light" w:hAnsi="Apercu Light"/>
        </w:rPr>
      </w:pPr>
      <w:r w:rsidRPr="00C16208">
        <w:rPr>
          <w:rFonts w:ascii="Apercu Light" w:hAnsi="Apercu Light"/>
          <w:color w:val="000000"/>
        </w:rPr>
        <w:t>The indicative time commitment is approximately 1–2 days per month once established, comprising the core scheduled activities: the quarterly clinical governance report</w:t>
      </w:r>
      <w:r w:rsidR="00504C31" w:rsidRPr="00C16208">
        <w:rPr>
          <w:rFonts w:ascii="Apercu Light" w:hAnsi="Apercu Light"/>
          <w:color w:val="000000"/>
        </w:rPr>
        <w:t xml:space="preserve"> and meeting (one hour</w:t>
      </w:r>
      <w:proofErr w:type="gramStart"/>
      <w:r w:rsidR="00504C31" w:rsidRPr="00C16208">
        <w:rPr>
          <w:rFonts w:ascii="Apercu Light" w:hAnsi="Apercu Light"/>
          <w:color w:val="000000"/>
        </w:rPr>
        <w:t xml:space="preserve">), </w:t>
      </w:r>
      <w:r w:rsidRPr="00C16208">
        <w:rPr>
          <w:rFonts w:ascii="Apercu Light" w:hAnsi="Apercu Light"/>
          <w:color w:val="000000"/>
        </w:rPr>
        <w:t xml:space="preserve"> annual</w:t>
      </w:r>
      <w:proofErr w:type="gramEnd"/>
      <w:r w:rsidRPr="00C16208">
        <w:rPr>
          <w:rFonts w:ascii="Apercu Light" w:hAnsi="Apercu Light"/>
          <w:color w:val="000000"/>
        </w:rPr>
        <w:t xml:space="preserve"> policy reviews, practitioner standards oversight, and attendance at governance meetings. Ad hoc items — those marked * in Section 4 — fall outside this core commitment and will be separately agreed and costed as they arise. Respondents should provide a separate rate for ad hoc work in their cost proposal.</w:t>
      </w:r>
    </w:p>
    <w:p w14:paraId="5A4B3070" w14:textId="58B02D34" w:rsidR="006A7F35" w:rsidRPr="00C16208" w:rsidRDefault="00EB0017" w:rsidP="00504C31">
      <w:pPr>
        <w:spacing w:before="80" w:after="80"/>
        <w:jc w:val="both"/>
        <w:rPr>
          <w:rFonts w:ascii="Apercu Light" w:hAnsi="Apercu Light"/>
        </w:rPr>
      </w:pPr>
      <w:r w:rsidRPr="00C16208">
        <w:rPr>
          <w:rFonts w:ascii="Apercu Light" w:hAnsi="Apercu Light"/>
          <w:color w:val="000000"/>
        </w:rPr>
        <w:t xml:space="preserve">The actual commitment will vary by month and by the stage of MMM's development. </w:t>
      </w:r>
      <w:r w:rsidR="00504C31" w:rsidRPr="00C16208">
        <w:rPr>
          <w:rFonts w:ascii="Apercu Light" w:hAnsi="Apercu Light"/>
          <w:color w:val="000000"/>
        </w:rPr>
        <w:t>T</w:t>
      </w:r>
      <w:r w:rsidRPr="00C16208">
        <w:rPr>
          <w:rFonts w:ascii="Apercu Light" w:hAnsi="Apercu Light"/>
          <w:color w:val="000000"/>
        </w:rPr>
        <w:t xml:space="preserve">he initial establishment period — approximately the first three to four months of the engagement — is expected to require a materially higher commitment than the ongoing steady-state. During this period, the Adviser will be working with MMM to review and finalise the policy </w:t>
      </w:r>
      <w:proofErr w:type="gramStart"/>
      <w:r w:rsidRPr="00C16208">
        <w:rPr>
          <w:rFonts w:ascii="Apercu Light" w:hAnsi="Apercu Light"/>
          <w:color w:val="000000"/>
        </w:rPr>
        <w:t>suite, and</w:t>
      </w:r>
      <w:proofErr w:type="gramEnd"/>
      <w:r w:rsidRPr="00C16208">
        <w:rPr>
          <w:rFonts w:ascii="Apercu Light" w:hAnsi="Apercu Light"/>
          <w:color w:val="000000"/>
        </w:rPr>
        <w:t xml:space="preserve"> set up practitioner oversight processes. Respondents should address specifically how they would approach and resource this establishment phase, and how flexibility in the time commitment would be handled and costed.</w:t>
      </w:r>
    </w:p>
    <w:p w14:paraId="118E221D" w14:textId="77777777" w:rsidR="006A7F35" w:rsidRPr="00C16208" w:rsidRDefault="00EB0017">
      <w:pPr>
        <w:pStyle w:val="Heading2"/>
        <w:rPr>
          <w:rFonts w:ascii="Apercu Light" w:hAnsi="Apercu Light"/>
          <w:sz w:val="22"/>
          <w:szCs w:val="22"/>
        </w:rPr>
      </w:pPr>
      <w:r w:rsidRPr="00C16208">
        <w:rPr>
          <w:rFonts w:ascii="Apercu Light" w:hAnsi="Apercu Light"/>
          <w:sz w:val="22"/>
          <w:szCs w:val="22"/>
        </w:rPr>
        <w:t>7.2 Scope of the Adviser's role in incidents</w:t>
      </w:r>
    </w:p>
    <w:p w14:paraId="14BF7BD1" w14:textId="77777777" w:rsidR="006A7F35" w:rsidRPr="00C16208" w:rsidRDefault="00EB0017">
      <w:pPr>
        <w:spacing w:before="80" w:after="80"/>
        <w:jc w:val="both"/>
        <w:rPr>
          <w:rFonts w:ascii="Apercu Light" w:hAnsi="Apercu Light"/>
        </w:rPr>
      </w:pPr>
      <w:r w:rsidRPr="00C16208">
        <w:rPr>
          <w:rFonts w:ascii="Apercu Light" w:hAnsi="Apercu Light"/>
          <w:color w:val="000000"/>
        </w:rPr>
        <w:t>For the avoidance of doubt, the Clinical Adviser is not an on-call resource and is not expected to be available for real-time clinical input during live mental health incidents. Responsibility for managing live incidents rests with MMM's staff in accordance with the protocols set out in MMM's Mental Health Incident Policy, which include escalation to the Designated Safeguarding Lead and, where necessary, to emergency services.</w:t>
      </w:r>
    </w:p>
    <w:p w14:paraId="06C2876E" w14:textId="48C63E05" w:rsidR="006A7F35" w:rsidRPr="00C16208" w:rsidRDefault="00EB0017" w:rsidP="00504C31">
      <w:pPr>
        <w:spacing w:before="80" w:after="80"/>
        <w:jc w:val="both"/>
        <w:rPr>
          <w:rFonts w:ascii="Apercu Light" w:hAnsi="Apercu Light"/>
        </w:rPr>
      </w:pPr>
      <w:r w:rsidRPr="00C16208">
        <w:rPr>
          <w:rFonts w:ascii="Apercu Light" w:hAnsi="Apercu Light"/>
          <w:color w:val="000000"/>
        </w:rPr>
        <w:t>The Adviser's incident-related responsibilities are post-event in nature: reviewing incident reports on a quarterly basis, advising on systemic learning, and providing expert input when MMM requests a review of a specific incident or case. Respondents should be clear in their expression of interest that they understand and accept this scope.</w:t>
      </w:r>
    </w:p>
    <w:p w14:paraId="0EC59D78" w14:textId="614D6941" w:rsidR="006A7F35" w:rsidRPr="00C16208" w:rsidRDefault="00EB0017">
      <w:pPr>
        <w:pStyle w:val="Heading2"/>
        <w:rPr>
          <w:rFonts w:ascii="Apercu Light" w:hAnsi="Apercu Light"/>
          <w:sz w:val="22"/>
          <w:szCs w:val="22"/>
        </w:rPr>
      </w:pPr>
      <w:r w:rsidRPr="00C16208">
        <w:rPr>
          <w:rFonts w:ascii="Apercu Light" w:hAnsi="Apercu Light"/>
          <w:sz w:val="22"/>
          <w:szCs w:val="22"/>
        </w:rPr>
        <w:t>7.</w:t>
      </w:r>
      <w:r w:rsidR="00504C31" w:rsidRPr="00C16208">
        <w:rPr>
          <w:rFonts w:ascii="Apercu Light" w:hAnsi="Apercu Light"/>
          <w:sz w:val="22"/>
          <w:szCs w:val="22"/>
        </w:rPr>
        <w:t>3</w:t>
      </w:r>
      <w:r w:rsidRPr="00C16208">
        <w:rPr>
          <w:rFonts w:ascii="Apercu Light" w:hAnsi="Apercu Light"/>
          <w:sz w:val="22"/>
          <w:szCs w:val="22"/>
        </w:rPr>
        <w:t xml:space="preserve"> The Adviser's authority and MMM's executive responsibility</w:t>
      </w:r>
    </w:p>
    <w:p w14:paraId="4E36C7E1" w14:textId="77777777" w:rsidR="006A7F35" w:rsidRPr="00C16208" w:rsidRDefault="00EB0017">
      <w:pPr>
        <w:spacing w:before="80" w:after="80"/>
        <w:jc w:val="both"/>
        <w:rPr>
          <w:rFonts w:ascii="Apercu Light" w:hAnsi="Apercu Light"/>
        </w:rPr>
      </w:pPr>
      <w:r w:rsidRPr="00C16208">
        <w:rPr>
          <w:rFonts w:ascii="Apercu Light" w:hAnsi="Apercu Light"/>
          <w:color w:val="000000"/>
        </w:rPr>
        <w:t xml:space="preserve">The Clinical Adviser is an advisory function. Executive decisions — including decisions about service design, activity launch, and organisational risk — rest with MMM's Executive and, where appropriate, its Board of </w:t>
      </w:r>
      <w:r w:rsidRPr="00C16208">
        <w:rPr>
          <w:rFonts w:ascii="Apercu Light" w:hAnsi="Apercu Light"/>
          <w:color w:val="000000"/>
        </w:rPr>
        <w:lastRenderedPageBreak/>
        <w:t>Trustees. The Adviser's role is to ensure that MMM makes those decisions with the benefit of qualified clinical expertise, not to make them on MMM's behalf.</w:t>
      </w:r>
    </w:p>
    <w:p w14:paraId="70265BA8" w14:textId="25B7F432" w:rsidR="006A7F35" w:rsidRPr="00C16208" w:rsidRDefault="00EB0017">
      <w:pPr>
        <w:pStyle w:val="Heading2"/>
        <w:rPr>
          <w:rFonts w:ascii="Apercu Light" w:hAnsi="Apercu Light"/>
          <w:sz w:val="22"/>
          <w:szCs w:val="22"/>
        </w:rPr>
      </w:pPr>
      <w:r w:rsidRPr="00C16208">
        <w:rPr>
          <w:rFonts w:ascii="Apercu Light" w:hAnsi="Apercu Light"/>
          <w:sz w:val="22"/>
          <w:szCs w:val="22"/>
        </w:rPr>
        <w:t>7.</w:t>
      </w:r>
      <w:r w:rsidR="00783F3B">
        <w:rPr>
          <w:rFonts w:ascii="Apercu Light" w:hAnsi="Apercu Light"/>
          <w:sz w:val="22"/>
          <w:szCs w:val="22"/>
        </w:rPr>
        <w:t>4</w:t>
      </w:r>
      <w:r w:rsidRPr="00C16208">
        <w:rPr>
          <w:rFonts w:ascii="Apercu Light" w:hAnsi="Apercu Light"/>
          <w:sz w:val="22"/>
          <w:szCs w:val="22"/>
        </w:rPr>
        <w:t xml:space="preserve"> Term, review, and transition</w:t>
      </w:r>
    </w:p>
    <w:p w14:paraId="0A971F17" w14:textId="77777777" w:rsidR="006A7F35" w:rsidRPr="00C16208" w:rsidRDefault="00EB0017">
      <w:pPr>
        <w:spacing w:before="80" w:after="80"/>
        <w:jc w:val="both"/>
        <w:rPr>
          <w:rFonts w:ascii="Apercu Light" w:hAnsi="Apercu Light"/>
        </w:rPr>
      </w:pPr>
      <w:r w:rsidRPr="00C16208">
        <w:rPr>
          <w:rFonts w:ascii="Apercu Light" w:hAnsi="Apercu Light"/>
          <w:color w:val="000000"/>
        </w:rPr>
        <w:t>We are initially commissioning this function for a period of one year, with a review of scope, delivery, and cost at the end of that period. We anticipate that a successful first year will lead to continuation, though this is not guaranteed.</w:t>
      </w:r>
    </w:p>
    <w:p w14:paraId="59D03C84" w14:textId="0BB892AD" w:rsidR="006A7F35" w:rsidRPr="00C16208" w:rsidRDefault="00EB0017" w:rsidP="00504C31">
      <w:pPr>
        <w:spacing w:before="80" w:after="80"/>
        <w:jc w:val="both"/>
        <w:rPr>
          <w:rFonts w:ascii="Apercu Light" w:hAnsi="Apercu Light"/>
        </w:rPr>
      </w:pPr>
      <w:r w:rsidRPr="00C16208">
        <w:rPr>
          <w:rFonts w:ascii="Apercu Light" w:hAnsi="Apercu Light"/>
          <w:color w:val="000000"/>
        </w:rPr>
        <w:t xml:space="preserve">Either party may terminate the engagement earlier in accordance with the contractual termination provisions. In the event of termination — whether at the end of the first year or earlier — MMM will require a structured handover period of not less than one month, during which the outgoing Adviser will: complete any outstanding governance reports; document the status of all ongoing governance matters; transfer the governance log and all relevant records to MMM; and be available to brief a successor Adviser. </w:t>
      </w:r>
    </w:p>
    <w:p w14:paraId="24AE69E6" w14:textId="69650579" w:rsidR="006A7F35" w:rsidRPr="00C16208" w:rsidRDefault="00EB0017">
      <w:pPr>
        <w:pStyle w:val="Heading2"/>
        <w:rPr>
          <w:rFonts w:ascii="Apercu Light" w:hAnsi="Apercu Light"/>
          <w:sz w:val="22"/>
          <w:szCs w:val="22"/>
        </w:rPr>
      </w:pPr>
      <w:r w:rsidRPr="00C16208">
        <w:rPr>
          <w:rFonts w:ascii="Apercu Light" w:hAnsi="Apercu Light"/>
          <w:sz w:val="22"/>
          <w:szCs w:val="22"/>
        </w:rPr>
        <w:t>7.</w:t>
      </w:r>
      <w:r w:rsidR="00783F3B">
        <w:rPr>
          <w:rFonts w:ascii="Apercu Light" w:hAnsi="Apercu Light"/>
          <w:sz w:val="22"/>
          <w:szCs w:val="22"/>
        </w:rPr>
        <w:t>5</w:t>
      </w:r>
      <w:r w:rsidRPr="00C16208">
        <w:rPr>
          <w:rFonts w:ascii="Apercu Light" w:hAnsi="Apercu Light"/>
          <w:sz w:val="22"/>
          <w:szCs w:val="22"/>
        </w:rPr>
        <w:t xml:space="preserve"> Location</w:t>
      </w:r>
    </w:p>
    <w:p w14:paraId="64FF1DF2" w14:textId="4EB7E089" w:rsidR="006A7F35" w:rsidRPr="00C16208" w:rsidRDefault="00EB0017" w:rsidP="00504C31">
      <w:pPr>
        <w:spacing w:before="80" w:after="80"/>
        <w:jc w:val="both"/>
        <w:rPr>
          <w:rFonts w:ascii="Apercu Light" w:hAnsi="Apercu Light"/>
        </w:rPr>
      </w:pPr>
      <w:r w:rsidRPr="00C16208">
        <w:rPr>
          <w:rFonts w:ascii="Apercu Light" w:hAnsi="Apercu Light"/>
          <w:color w:val="000000"/>
        </w:rPr>
        <w:t xml:space="preserve">The function is primarily remote. The named adviser will be expected to attend MMM events or governance meetings occasionally — typically no more than </w:t>
      </w:r>
      <w:r w:rsidR="00504C31" w:rsidRPr="00C16208">
        <w:rPr>
          <w:rFonts w:ascii="Apercu Light" w:hAnsi="Apercu Light"/>
          <w:color w:val="000000"/>
        </w:rPr>
        <w:t xml:space="preserve">four times </w:t>
      </w:r>
      <w:r w:rsidRPr="00C16208">
        <w:rPr>
          <w:rFonts w:ascii="Apercu Light" w:hAnsi="Apercu Light"/>
          <w:color w:val="000000"/>
        </w:rPr>
        <w:t>a year — which may require travel to</w:t>
      </w:r>
      <w:r w:rsidR="00504C31" w:rsidRPr="00C16208">
        <w:rPr>
          <w:rFonts w:ascii="Apercu Light" w:hAnsi="Apercu Light"/>
          <w:color w:val="000000"/>
        </w:rPr>
        <w:t xml:space="preserve"> MMM’s office in Kings Cross, London</w:t>
      </w:r>
      <w:r w:rsidRPr="00C16208">
        <w:rPr>
          <w:rFonts w:ascii="Apercu Light" w:hAnsi="Apercu Light"/>
          <w:color w:val="000000"/>
        </w:rPr>
        <w:t>. Travel and reasonable expenses will be covered in accordance with MMM's expenses policy.</w:t>
      </w:r>
    </w:p>
    <w:p w14:paraId="2A2CAE06" w14:textId="77777777" w:rsidR="006A7F35" w:rsidRPr="00C16208" w:rsidRDefault="00EB0017">
      <w:pPr>
        <w:pStyle w:val="Heading1"/>
        <w:rPr>
          <w:rFonts w:ascii="Apercu Light" w:hAnsi="Apercu Light"/>
          <w:sz w:val="22"/>
          <w:szCs w:val="22"/>
        </w:rPr>
      </w:pPr>
      <w:r w:rsidRPr="00C16208">
        <w:rPr>
          <w:rFonts w:ascii="Apercu Light" w:hAnsi="Apercu Light"/>
          <w:sz w:val="22"/>
          <w:szCs w:val="22"/>
        </w:rPr>
        <w:t>8. How to Respond</w:t>
      </w:r>
    </w:p>
    <w:p w14:paraId="61AD16CD" w14:textId="7F2DCE1E" w:rsidR="006A7F35" w:rsidRPr="00C16208" w:rsidRDefault="00EB0017" w:rsidP="00504C31">
      <w:pPr>
        <w:spacing w:before="80" w:after="80"/>
        <w:jc w:val="both"/>
        <w:rPr>
          <w:rFonts w:ascii="Apercu Light" w:hAnsi="Apercu Light"/>
        </w:rPr>
      </w:pPr>
      <w:r w:rsidRPr="00C16208">
        <w:rPr>
          <w:rFonts w:ascii="Apercu Light" w:hAnsi="Apercu Light"/>
          <w:color w:val="000000"/>
        </w:rPr>
        <w:t>We welcome expressions of interest from organisations and individuals. There is no prescribed format — we are interested in responses that are concise, direct, and genuinely responsive to this brief rather than generic capability statements.</w:t>
      </w:r>
    </w:p>
    <w:p w14:paraId="4850A90A" w14:textId="77777777" w:rsidR="006A7F35" w:rsidRPr="00C16208" w:rsidRDefault="00EB0017">
      <w:pPr>
        <w:pStyle w:val="Heading2"/>
        <w:rPr>
          <w:rFonts w:ascii="Apercu Light" w:hAnsi="Apercu Light"/>
          <w:sz w:val="22"/>
          <w:szCs w:val="22"/>
        </w:rPr>
      </w:pPr>
      <w:r w:rsidRPr="78203EC0">
        <w:rPr>
          <w:rFonts w:ascii="Apercu Light" w:hAnsi="Apercu Light"/>
          <w:sz w:val="22"/>
          <w:szCs w:val="22"/>
        </w:rPr>
        <w:t>8.1 What your response should cover</w:t>
      </w:r>
    </w:p>
    <w:p w14:paraId="49FCA7E1" w14:textId="2354FEC1" w:rsidR="1C40B06D" w:rsidRDefault="1C40B06D" w:rsidP="78203EC0">
      <w:pPr>
        <w:pStyle w:val="Heading2"/>
        <w:spacing w:line="259" w:lineRule="auto"/>
      </w:pPr>
      <w:r w:rsidRPr="78203EC0">
        <w:rPr>
          <w:rFonts w:ascii="Apercu Light" w:hAnsi="Apercu Light"/>
          <w:b w:val="0"/>
          <w:bCs w:val="0"/>
          <w:sz w:val="22"/>
          <w:szCs w:val="22"/>
        </w:rPr>
        <w:t xml:space="preserve">Expressions of Interest must not exceed four pages of A4 (or equivalent length). A full CV for the Advisor may be provided as an appendix but no other additional materials that are submitted will be considered. </w:t>
      </w:r>
    </w:p>
    <w:p w14:paraId="1E36D5F3" w14:textId="34998D02" w:rsidR="00504C31" w:rsidRPr="00C16208" w:rsidRDefault="00504C31">
      <w:pPr>
        <w:pStyle w:val="Heading2"/>
        <w:rPr>
          <w:rFonts w:ascii="Apercu Light" w:hAnsi="Apercu Light"/>
          <w:b w:val="0"/>
          <w:bCs w:val="0"/>
          <w:sz w:val="22"/>
          <w:szCs w:val="22"/>
        </w:rPr>
      </w:pPr>
      <w:r w:rsidRPr="00C16208">
        <w:rPr>
          <w:rFonts w:ascii="Apercu Light" w:hAnsi="Apercu Light"/>
          <w:b w:val="0"/>
          <w:bCs w:val="0"/>
          <w:sz w:val="22"/>
          <w:szCs w:val="22"/>
        </w:rPr>
        <w:t>Please ensure your response covers:</w:t>
      </w:r>
    </w:p>
    <w:p w14:paraId="0E1D1334" w14:textId="0C765B08" w:rsidR="00504C31" w:rsidRPr="00C16208" w:rsidRDefault="00504C31">
      <w:pPr>
        <w:pStyle w:val="Heading2"/>
        <w:rPr>
          <w:rFonts w:ascii="Apercu Light" w:hAnsi="Apercu Light"/>
          <w:sz w:val="22"/>
          <w:szCs w:val="22"/>
        </w:rPr>
      </w:pPr>
      <w:r w:rsidRPr="00C16208">
        <w:rPr>
          <w:rFonts w:ascii="Apercu Light" w:hAnsi="Apercu Light"/>
          <w:sz w:val="22"/>
          <w:szCs w:val="22"/>
        </w:rPr>
        <w:t>Fit to the brief</w:t>
      </w:r>
    </w:p>
    <w:p w14:paraId="3BA6D858" w14:textId="5D404392" w:rsidR="00504C31" w:rsidRPr="00C16208" w:rsidRDefault="00504C31" w:rsidP="00504C31">
      <w:pPr>
        <w:pStyle w:val="Heading2"/>
        <w:numPr>
          <w:ilvl w:val="0"/>
          <w:numId w:val="6"/>
        </w:numPr>
        <w:spacing w:before="0" w:after="0"/>
        <w:rPr>
          <w:rFonts w:ascii="Apercu Light" w:hAnsi="Apercu Light"/>
          <w:b w:val="0"/>
          <w:bCs w:val="0"/>
          <w:sz w:val="22"/>
          <w:szCs w:val="22"/>
        </w:rPr>
      </w:pPr>
      <w:r w:rsidRPr="00C16208">
        <w:rPr>
          <w:rFonts w:ascii="Apercu Light" w:hAnsi="Apercu Light"/>
          <w:b w:val="0"/>
          <w:bCs w:val="0"/>
          <w:sz w:val="22"/>
          <w:szCs w:val="22"/>
        </w:rPr>
        <w:t>Professional CV for the proposed name Advisor showing how they meet the requirements in section x</w:t>
      </w:r>
    </w:p>
    <w:p w14:paraId="06CD9187" w14:textId="7F30EAE8" w:rsidR="00504C31" w:rsidRPr="00C16208" w:rsidRDefault="00504C31" w:rsidP="00504C31">
      <w:pPr>
        <w:pStyle w:val="ListParagraph"/>
        <w:numPr>
          <w:ilvl w:val="0"/>
          <w:numId w:val="6"/>
        </w:numPr>
        <w:rPr>
          <w:rFonts w:ascii="Apercu Light" w:hAnsi="Apercu Light"/>
        </w:rPr>
      </w:pPr>
      <w:r w:rsidRPr="00C16208">
        <w:rPr>
          <w:rFonts w:ascii="Apercu Light" w:hAnsi="Apercu Light"/>
          <w:color w:val="000000"/>
        </w:rPr>
        <w:t xml:space="preserve">How you would approach the establishment period, and how you would resource the higher initial commitment to review the full policy suite and establish governance reporting </w:t>
      </w:r>
    </w:p>
    <w:p w14:paraId="20822E67" w14:textId="55F62145" w:rsidR="00504C31" w:rsidRPr="00C16208" w:rsidRDefault="00504C31" w:rsidP="00504C31">
      <w:pPr>
        <w:pStyle w:val="ListParagraph"/>
        <w:numPr>
          <w:ilvl w:val="0"/>
          <w:numId w:val="6"/>
        </w:numPr>
        <w:rPr>
          <w:rFonts w:ascii="Apercu Light" w:hAnsi="Apercu Light"/>
        </w:rPr>
      </w:pPr>
      <w:r w:rsidRPr="00C16208">
        <w:rPr>
          <w:rFonts w:ascii="Apercu Light" w:hAnsi="Apercu Light"/>
          <w:color w:val="000000"/>
        </w:rPr>
        <w:t xml:space="preserve">How you would structure your engagement with MMM — including how you would manage the balance between </w:t>
      </w:r>
      <w:r w:rsidR="00676C3B" w:rsidRPr="00C16208">
        <w:rPr>
          <w:rFonts w:ascii="Apercu Light" w:hAnsi="Apercu Light"/>
          <w:color w:val="000000"/>
        </w:rPr>
        <w:t>core</w:t>
      </w:r>
      <w:r w:rsidRPr="00C16208">
        <w:rPr>
          <w:rFonts w:ascii="Apercu Light" w:hAnsi="Apercu Light"/>
          <w:color w:val="000000"/>
        </w:rPr>
        <w:t xml:space="preserve"> and responsive work </w:t>
      </w:r>
      <w:r w:rsidR="00676C3B" w:rsidRPr="00C16208">
        <w:rPr>
          <w:rFonts w:ascii="Apercu Light" w:hAnsi="Apercu Light"/>
          <w:color w:val="000000"/>
        </w:rPr>
        <w:t xml:space="preserve">outlined in Section 4 </w:t>
      </w:r>
    </w:p>
    <w:p w14:paraId="0AD48C2F" w14:textId="366396A5" w:rsidR="00504C31" w:rsidRPr="00C16208" w:rsidRDefault="00504C31" w:rsidP="00504C31">
      <w:pPr>
        <w:pStyle w:val="ListParagraph"/>
        <w:numPr>
          <w:ilvl w:val="0"/>
          <w:numId w:val="6"/>
        </w:numPr>
        <w:rPr>
          <w:rFonts w:ascii="Apercu Light" w:hAnsi="Apercu Light"/>
        </w:rPr>
      </w:pPr>
      <w:r w:rsidRPr="00C16208">
        <w:rPr>
          <w:rFonts w:ascii="Apercu Light" w:hAnsi="Apercu Light"/>
          <w:color w:val="000000"/>
        </w:rPr>
        <w:t xml:space="preserve">How you would approach the independence requirements set out in Section 6, including any considerations specific to your situation — in particular, if your organisation also may wish to consider applying for service delivery contracts with MMM should they arise in future </w:t>
      </w:r>
    </w:p>
    <w:p w14:paraId="2ACFD983" w14:textId="77777777" w:rsidR="00504C31" w:rsidRPr="00C16208" w:rsidRDefault="00504C31" w:rsidP="00504C31">
      <w:pPr>
        <w:pStyle w:val="ListParagraph"/>
        <w:numPr>
          <w:ilvl w:val="0"/>
          <w:numId w:val="6"/>
        </w:numPr>
        <w:rPr>
          <w:rFonts w:ascii="Apercu Light" w:hAnsi="Apercu Light"/>
        </w:rPr>
      </w:pPr>
      <w:r w:rsidRPr="00C16208">
        <w:rPr>
          <w:rFonts w:ascii="Apercu Light" w:hAnsi="Apercu Light"/>
          <w:color w:val="000000"/>
        </w:rPr>
        <w:t>For organisations: how the named adviser would be supported, supervised, and backed by your wider team; and how you would ensure continuity if the named adviser was unavailable for a period</w:t>
      </w:r>
    </w:p>
    <w:p w14:paraId="02D83F20" w14:textId="77777777" w:rsidR="00504C31" w:rsidRPr="00C16208" w:rsidRDefault="00504C31" w:rsidP="00504C31">
      <w:pPr>
        <w:pStyle w:val="ListParagraph"/>
        <w:numPr>
          <w:ilvl w:val="0"/>
          <w:numId w:val="6"/>
        </w:numPr>
        <w:rPr>
          <w:rFonts w:ascii="Apercu Light" w:hAnsi="Apercu Light"/>
        </w:rPr>
      </w:pPr>
      <w:r w:rsidRPr="00C16208">
        <w:rPr>
          <w:rFonts w:ascii="Apercu Light" w:hAnsi="Apercu Light"/>
          <w:color w:val="000000"/>
        </w:rPr>
        <w:lastRenderedPageBreak/>
        <w:t>For individuals: how you would ensure your own resilience, clinical supervision, and continuity of availability</w:t>
      </w:r>
    </w:p>
    <w:p w14:paraId="54D64078" w14:textId="77777777" w:rsidR="006A7F35" w:rsidRPr="00C16208" w:rsidRDefault="00EB0017" w:rsidP="00504C31">
      <w:pPr>
        <w:pStyle w:val="Heading2"/>
        <w:rPr>
          <w:rFonts w:ascii="Apercu Light" w:hAnsi="Apercu Light"/>
          <w:sz w:val="22"/>
          <w:szCs w:val="22"/>
        </w:rPr>
      </w:pPr>
      <w:r w:rsidRPr="00C16208">
        <w:rPr>
          <w:rFonts w:ascii="Apercu Light" w:hAnsi="Apercu Light"/>
          <w:sz w:val="22"/>
          <w:szCs w:val="22"/>
        </w:rPr>
        <w:t>Costs</w:t>
      </w:r>
    </w:p>
    <w:p w14:paraId="3A742AA3" w14:textId="77777777" w:rsidR="006A7F35" w:rsidRPr="00C16208" w:rsidRDefault="00EB0017" w:rsidP="00504C31">
      <w:pPr>
        <w:pStyle w:val="ListParagraph"/>
        <w:numPr>
          <w:ilvl w:val="0"/>
          <w:numId w:val="8"/>
        </w:numPr>
        <w:spacing w:before="60" w:after="60"/>
        <w:rPr>
          <w:rFonts w:ascii="Apercu Light" w:hAnsi="Apercu Light"/>
        </w:rPr>
      </w:pPr>
      <w:r w:rsidRPr="00C16208">
        <w:rPr>
          <w:rFonts w:ascii="Apercu Light" w:hAnsi="Apercu Light"/>
          <w:color w:val="000000"/>
        </w:rPr>
        <w:t>Your proposed cost for the first year for the core scheduled function, based on the indicative time commitment described in this document and reflecting any additional commitment during the establishment period</w:t>
      </w:r>
    </w:p>
    <w:p w14:paraId="15949066" w14:textId="77777777" w:rsidR="006A7F35" w:rsidRPr="00C16208" w:rsidRDefault="00EB0017" w:rsidP="00504C31">
      <w:pPr>
        <w:pStyle w:val="ListParagraph"/>
        <w:numPr>
          <w:ilvl w:val="0"/>
          <w:numId w:val="8"/>
        </w:numPr>
        <w:spacing w:before="60" w:after="60"/>
        <w:rPr>
          <w:rFonts w:ascii="Apercu Light" w:hAnsi="Apercu Light"/>
        </w:rPr>
      </w:pPr>
      <w:r w:rsidRPr="00C16208">
        <w:rPr>
          <w:rFonts w:ascii="Apercu Light" w:hAnsi="Apercu Light"/>
          <w:color w:val="000000"/>
        </w:rPr>
        <w:t>Your proposed day or session rate for ad hoc work (items marked * in Section 4), which will be separately agreed and costed as those items arise — this rate may differ from your core rate</w:t>
      </w:r>
    </w:p>
    <w:p w14:paraId="7F746315" w14:textId="77777777" w:rsidR="006A7F35" w:rsidRPr="00C16208" w:rsidRDefault="00EB0017" w:rsidP="00504C31">
      <w:pPr>
        <w:pStyle w:val="ListParagraph"/>
        <w:numPr>
          <w:ilvl w:val="0"/>
          <w:numId w:val="8"/>
        </w:numPr>
        <w:spacing w:before="60" w:after="60"/>
        <w:rPr>
          <w:rFonts w:ascii="Apercu Light" w:hAnsi="Apercu Light"/>
        </w:rPr>
      </w:pPr>
      <w:r w:rsidRPr="00C16208">
        <w:rPr>
          <w:rFonts w:ascii="Apercu Light" w:hAnsi="Apercu Light"/>
          <w:color w:val="000000"/>
        </w:rPr>
        <w:t>How you have arrived at these figures, including any assumptions about the volume of work</w:t>
      </w:r>
    </w:p>
    <w:p w14:paraId="2EE78CD2" w14:textId="77777777" w:rsidR="006A7F35" w:rsidRPr="00C16208" w:rsidRDefault="00EB0017" w:rsidP="00504C31">
      <w:pPr>
        <w:pStyle w:val="ListParagraph"/>
        <w:numPr>
          <w:ilvl w:val="0"/>
          <w:numId w:val="8"/>
        </w:numPr>
        <w:spacing w:before="60" w:after="60"/>
        <w:rPr>
          <w:rFonts w:ascii="Apercu Light" w:hAnsi="Apercu Light"/>
        </w:rPr>
      </w:pPr>
      <w:r w:rsidRPr="00C16208">
        <w:rPr>
          <w:rFonts w:ascii="Apercu Light" w:hAnsi="Apercu Light"/>
          <w:color w:val="000000"/>
        </w:rPr>
        <w:t>Any other costs MMM should be aware of — including travel, expenses, or any supervision costs that would be passed on</w:t>
      </w:r>
    </w:p>
    <w:p w14:paraId="4F65B8FE" w14:textId="77777777" w:rsidR="006C08DB" w:rsidRPr="00C16208" w:rsidRDefault="006C08DB" w:rsidP="00C16208">
      <w:pPr>
        <w:pStyle w:val="ListParagraph"/>
        <w:spacing w:before="60" w:after="60"/>
        <w:ind w:left="360"/>
        <w:jc w:val="center"/>
        <w:rPr>
          <w:rFonts w:ascii="Apercu Light" w:hAnsi="Apercu Light"/>
        </w:rPr>
      </w:pPr>
    </w:p>
    <w:p w14:paraId="0D0C4B8E" w14:textId="77777777" w:rsidR="006A7F35" w:rsidRPr="00C16208" w:rsidRDefault="00EB0017" w:rsidP="006C08DB">
      <w:pPr>
        <w:pStyle w:val="Heading1"/>
        <w:spacing w:before="0" w:after="0"/>
        <w:rPr>
          <w:rFonts w:ascii="Apercu Light" w:hAnsi="Apercu Light"/>
          <w:sz w:val="22"/>
          <w:szCs w:val="22"/>
        </w:rPr>
      </w:pPr>
      <w:r w:rsidRPr="00C16208">
        <w:rPr>
          <w:rFonts w:ascii="Apercu Light" w:hAnsi="Apercu Light"/>
          <w:sz w:val="22"/>
          <w:szCs w:val="22"/>
        </w:rPr>
        <w:t>9. Process and Next Steps</w:t>
      </w:r>
    </w:p>
    <w:p w14:paraId="2BBB44DA" w14:textId="77777777" w:rsidR="006A7F35" w:rsidRPr="00C16208" w:rsidRDefault="006A7F35">
      <w:pPr>
        <w:spacing w:before="40" w:after="20"/>
        <w:rPr>
          <w:rFonts w:ascii="Apercu Light" w:hAnsi="Apercu Light"/>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6A7F35" w:rsidRPr="00C16208" w14:paraId="6C4EFB1C"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E8E8E8" w:themeFill="background2"/>
            <w:tcMar>
              <w:top w:w="80" w:type="dxa"/>
              <w:left w:w="120" w:type="dxa"/>
              <w:bottom w:w="80" w:type="dxa"/>
              <w:right w:w="120" w:type="dxa"/>
            </w:tcMar>
          </w:tcPr>
          <w:p w14:paraId="4A4D36DC" w14:textId="77777777" w:rsidR="006A7F35" w:rsidRPr="00C16208" w:rsidRDefault="00EB0017">
            <w:pPr>
              <w:spacing w:before="40" w:after="40"/>
              <w:rPr>
                <w:rFonts w:ascii="Apercu Light" w:hAnsi="Apercu Light"/>
              </w:rPr>
            </w:pPr>
            <w:r w:rsidRPr="00C16208">
              <w:rPr>
                <w:rFonts w:ascii="Apercu Light" w:hAnsi="Apercu Light"/>
                <w:b/>
                <w:bCs/>
                <w:color w:val="000000"/>
              </w:rPr>
              <w:t>Stage</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E8E8E8" w:themeFill="background2"/>
            <w:tcMar>
              <w:top w:w="80" w:type="dxa"/>
              <w:left w:w="120" w:type="dxa"/>
              <w:bottom w:w="80" w:type="dxa"/>
              <w:right w:w="120" w:type="dxa"/>
            </w:tcMar>
          </w:tcPr>
          <w:p w14:paraId="0F3E83B2" w14:textId="77777777" w:rsidR="006A7F35" w:rsidRPr="00C16208" w:rsidRDefault="00EB0017">
            <w:pPr>
              <w:spacing w:before="40" w:after="40"/>
              <w:rPr>
                <w:rFonts w:ascii="Apercu Light" w:hAnsi="Apercu Light"/>
              </w:rPr>
            </w:pPr>
            <w:r w:rsidRPr="00C16208">
              <w:rPr>
                <w:rFonts w:ascii="Apercu Light" w:hAnsi="Apercu Light"/>
                <w:b/>
                <w:bCs/>
                <w:color w:val="000000"/>
              </w:rPr>
              <w:t>Detail</w:t>
            </w:r>
          </w:p>
        </w:tc>
      </w:tr>
      <w:tr w:rsidR="006A7F35" w:rsidRPr="00C16208" w14:paraId="3647A9EC"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0F0F0"/>
            <w:tcMar>
              <w:top w:w="80" w:type="dxa"/>
              <w:left w:w="120" w:type="dxa"/>
              <w:bottom w:w="80" w:type="dxa"/>
              <w:right w:w="120" w:type="dxa"/>
            </w:tcMar>
          </w:tcPr>
          <w:p w14:paraId="2D044AE6" w14:textId="77777777" w:rsidR="006A7F35" w:rsidRPr="00C16208" w:rsidRDefault="00EB0017">
            <w:pPr>
              <w:spacing w:before="40" w:after="40"/>
              <w:jc w:val="both"/>
              <w:rPr>
                <w:rFonts w:ascii="Apercu Light" w:hAnsi="Apercu Light"/>
              </w:rPr>
            </w:pPr>
            <w:r w:rsidRPr="00C16208">
              <w:rPr>
                <w:rFonts w:ascii="Apercu Light" w:hAnsi="Apercu Light"/>
                <w:color w:val="000000"/>
              </w:rPr>
              <w:t>Expressions of interest</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0F0F0"/>
            <w:tcMar>
              <w:top w:w="80" w:type="dxa"/>
              <w:left w:w="120" w:type="dxa"/>
              <w:bottom w:w="80" w:type="dxa"/>
              <w:right w:w="120" w:type="dxa"/>
            </w:tcMar>
          </w:tcPr>
          <w:p w14:paraId="18BA186C" w14:textId="7585F165" w:rsidR="006A7F35" w:rsidRPr="00C16208" w:rsidRDefault="00EB0017">
            <w:pPr>
              <w:spacing w:before="40" w:after="40"/>
              <w:jc w:val="both"/>
              <w:rPr>
                <w:rFonts w:ascii="Apercu Light" w:hAnsi="Apercu Light"/>
              </w:rPr>
            </w:pPr>
            <w:r w:rsidRPr="00C16208">
              <w:rPr>
                <w:rFonts w:ascii="Apercu Light" w:hAnsi="Apercu Light"/>
                <w:color w:val="000000"/>
              </w:rPr>
              <w:t>Please submit your response</w:t>
            </w:r>
            <w:r w:rsidR="00336B2C">
              <w:rPr>
                <w:rFonts w:ascii="Apercu Light" w:hAnsi="Apercu Light"/>
                <w:color w:val="000000"/>
              </w:rPr>
              <w:t xml:space="preserve"> by 5pm 26 June</w:t>
            </w:r>
            <w:r w:rsidRPr="00C16208">
              <w:rPr>
                <w:rFonts w:ascii="Apercu Light" w:hAnsi="Apercu Light"/>
                <w:color w:val="000000"/>
              </w:rPr>
              <w:t xml:space="preserve"> to </w:t>
            </w:r>
            <w:r w:rsidR="008441EC" w:rsidRPr="008441EC">
              <w:rPr>
                <w:rFonts w:ascii="Apercu Light" w:hAnsi="Apercu Light"/>
                <w:b/>
                <w:bCs/>
                <w:color w:val="000000"/>
              </w:rPr>
              <w:t>Victoria.Angel-Sutherland@helpmusicians.org.uk</w:t>
            </w:r>
          </w:p>
        </w:tc>
      </w:tr>
      <w:tr w:rsidR="006A7F35" w:rsidRPr="00C16208" w14:paraId="7FF70A50"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764E8F88" w14:textId="77777777" w:rsidR="006A7F35" w:rsidRPr="00C16208" w:rsidRDefault="00EB0017">
            <w:pPr>
              <w:spacing w:before="40" w:after="40"/>
              <w:jc w:val="both"/>
              <w:rPr>
                <w:rFonts w:ascii="Apercu Light" w:hAnsi="Apercu Light"/>
              </w:rPr>
            </w:pPr>
            <w:r w:rsidRPr="00C16208">
              <w:rPr>
                <w:rFonts w:ascii="Apercu Light" w:hAnsi="Apercu Light"/>
                <w:color w:val="000000"/>
              </w:rPr>
              <w:t>Acknowledgement</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3EE55B94" w14:textId="24A275CE" w:rsidR="006A7F35" w:rsidRPr="00C16208" w:rsidRDefault="00EB0017">
            <w:pPr>
              <w:spacing w:before="40" w:after="40"/>
              <w:jc w:val="both"/>
              <w:rPr>
                <w:rFonts w:ascii="Apercu Light" w:hAnsi="Apercu Light"/>
              </w:rPr>
            </w:pPr>
            <w:r w:rsidRPr="78203EC0">
              <w:rPr>
                <w:rFonts w:ascii="Apercu Light" w:hAnsi="Apercu Light"/>
                <w:color w:val="000000" w:themeColor="text1"/>
              </w:rPr>
              <w:t xml:space="preserve">All expressions of interest will be acknowledged within </w:t>
            </w:r>
            <w:r w:rsidR="6E0A29B4" w:rsidRPr="78203EC0">
              <w:rPr>
                <w:rFonts w:ascii="Apercu Light" w:hAnsi="Apercu Light"/>
                <w:color w:val="000000" w:themeColor="text1"/>
              </w:rPr>
              <w:t>2</w:t>
            </w:r>
            <w:r w:rsidRPr="78203EC0">
              <w:rPr>
                <w:rFonts w:ascii="Apercu Light" w:hAnsi="Apercu Light"/>
                <w:color w:val="000000" w:themeColor="text1"/>
              </w:rPr>
              <w:t xml:space="preserve"> working days of receipt.</w:t>
            </w:r>
          </w:p>
        </w:tc>
      </w:tr>
      <w:tr w:rsidR="006A7F35" w:rsidRPr="00C16208" w14:paraId="28876360"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0F0F0"/>
            <w:tcMar>
              <w:top w:w="80" w:type="dxa"/>
              <w:left w:w="120" w:type="dxa"/>
              <w:bottom w:w="80" w:type="dxa"/>
              <w:right w:w="120" w:type="dxa"/>
            </w:tcMar>
          </w:tcPr>
          <w:p w14:paraId="43539F31" w14:textId="77777777" w:rsidR="006A7F35" w:rsidRPr="00C16208" w:rsidRDefault="00EB0017">
            <w:pPr>
              <w:spacing w:before="40" w:after="40"/>
              <w:jc w:val="both"/>
              <w:rPr>
                <w:rFonts w:ascii="Apercu Light" w:hAnsi="Apercu Light"/>
              </w:rPr>
            </w:pPr>
            <w:r w:rsidRPr="00C16208">
              <w:rPr>
                <w:rFonts w:ascii="Apercu Light" w:hAnsi="Apercu Light"/>
                <w:color w:val="000000"/>
              </w:rPr>
              <w:t>Review</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0F0F0"/>
            <w:tcMar>
              <w:top w:w="80" w:type="dxa"/>
              <w:left w:w="120" w:type="dxa"/>
              <w:bottom w:w="80" w:type="dxa"/>
              <w:right w:w="120" w:type="dxa"/>
            </w:tcMar>
          </w:tcPr>
          <w:p w14:paraId="7A0EE580" w14:textId="77777777" w:rsidR="006A7F35" w:rsidRPr="00C16208" w:rsidRDefault="00EB0017">
            <w:pPr>
              <w:spacing w:before="40" w:after="40"/>
              <w:jc w:val="both"/>
              <w:rPr>
                <w:rFonts w:ascii="Apercu Light" w:hAnsi="Apercu Light"/>
              </w:rPr>
            </w:pPr>
            <w:r w:rsidRPr="00C16208">
              <w:rPr>
                <w:rFonts w:ascii="Apercu Light" w:hAnsi="Apercu Light"/>
                <w:color w:val="000000"/>
              </w:rPr>
              <w:t>MMM will review all responses against the brief. We may contact respondents with clarifying questions during this stage.</w:t>
            </w:r>
          </w:p>
        </w:tc>
      </w:tr>
      <w:tr w:rsidR="006A7F35" w:rsidRPr="00C16208" w14:paraId="568E140D"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6CFC27B9" w14:textId="77777777" w:rsidR="006A7F35" w:rsidRPr="00C16208" w:rsidRDefault="00EB0017">
            <w:pPr>
              <w:spacing w:before="40" w:after="40"/>
              <w:jc w:val="both"/>
              <w:rPr>
                <w:rFonts w:ascii="Apercu Light" w:hAnsi="Apercu Light"/>
              </w:rPr>
            </w:pPr>
            <w:r w:rsidRPr="00C16208">
              <w:rPr>
                <w:rFonts w:ascii="Apercu Light" w:hAnsi="Apercu Light"/>
                <w:color w:val="000000"/>
              </w:rPr>
              <w:t>Invitation to discussion</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208CD9D9" w14:textId="77777777" w:rsidR="006A7F35" w:rsidRPr="00C16208" w:rsidRDefault="00EB0017">
            <w:pPr>
              <w:spacing w:before="40" w:after="40"/>
              <w:jc w:val="both"/>
              <w:rPr>
                <w:rFonts w:ascii="Apercu Light" w:hAnsi="Apercu Light"/>
              </w:rPr>
            </w:pPr>
            <w:r w:rsidRPr="00C16208">
              <w:rPr>
                <w:rFonts w:ascii="Apercu Light" w:hAnsi="Apercu Light"/>
                <w:color w:val="000000"/>
              </w:rPr>
              <w:t>Shortlisted respondents — whether organisations or individuals — will be invited to a discussion with MMM. This is an opportunity for both parties to explore fit, ask questions, and understand more about each other before any appointment is made.</w:t>
            </w:r>
          </w:p>
        </w:tc>
      </w:tr>
      <w:tr w:rsidR="006A7F35" w:rsidRPr="00C16208" w14:paraId="2DD912DD" w14:textId="77777777" w:rsidTr="78203EC0">
        <w:tc>
          <w:tcPr>
            <w:tcW w:w="2600"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7F93AC66" w14:textId="77777777" w:rsidR="006A7F35" w:rsidRPr="00C16208" w:rsidRDefault="00EB0017">
            <w:pPr>
              <w:spacing w:before="40" w:after="40"/>
              <w:jc w:val="both"/>
              <w:rPr>
                <w:rFonts w:ascii="Apercu Light" w:hAnsi="Apercu Light"/>
              </w:rPr>
            </w:pPr>
            <w:r w:rsidRPr="00C16208">
              <w:rPr>
                <w:rFonts w:ascii="Apercu Light" w:hAnsi="Apercu Light"/>
                <w:color w:val="000000"/>
              </w:rPr>
              <w:t>Decision and appointment</w:t>
            </w:r>
          </w:p>
        </w:tc>
        <w:tc>
          <w:tcPr>
            <w:tcW w:w="6426"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FFFFFF" w:themeFill="background1"/>
            <w:tcMar>
              <w:top w:w="80" w:type="dxa"/>
              <w:left w:w="120" w:type="dxa"/>
              <w:bottom w:w="80" w:type="dxa"/>
              <w:right w:w="120" w:type="dxa"/>
            </w:tcMar>
          </w:tcPr>
          <w:p w14:paraId="5F49D0B8" w14:textId="42B7AD58" w:rsidR="006A7F35" w:rsidRPr="00C16208" w:rsidRDefault="00EB0017">
            <w:pPr>
              <w:spacing w:before="40" w:after="40"/>
              <w:jc w:val="both"/>
              <w:rPr>
                <w:rFonts w:ascii="Apercu Light" w:hAnsi="Apercu Light"/>
              </w:rPr>
            </w:pPr>
            <w:r w:rsidRPr="00C16208">
              <w:rPr>
                <w:rFonts w:ascii="Apercu Light" w:hAnsi="Apercu Light"/>
                <w:color w:val="000000"/>
              </w:rPr>
              <w:t>Following discussions, MMM will notify all respondents of its decision. The appointed adviser or organisation will be asked to complete MMM's onboarding requirements, including an Enhanced DBS check for the named adviser, before the engagement commences.</w:t>
            </w:r>
          </w:p>
        </w:tc>
      </w:tr>
    </w:tbl>
    <w:p w14:paraId="1E1D0E06" w14:textId="77777777" w:rsidR="006C08DB" w:rsidRPr="00C16208" w:rsidRDefault="006C08DB" w:rsidP="006C08DB">
      <w:pPr>
        <w:pStyle w:val="Heading1"/>
        <w:spacing w:before="0" w:after="0"/>
        <w:rPr>
          <w:rFonts w:ascii="Apercu Light" w:hAnsi="Apercu Light"/>
        </w:rPr>
      </w:pPr>
    </w:p>
    <w:p w14:paraId="7ABB94E9" w14:textId="62F9A432" w:rsidR="006A7F35" w:rsidRPr="00C16208" w:rsidRDefault="00EB0017" w:rsidP="006C08DB">
      <w:pPr>
        <w:pStyle w:val="Heading1"/>
        <w:spacing w:before="0" w:after="0"/>
        <w:rPr>
          <w:rFonts w:ascii="Apercu Light" w:hAnsi="Apercu Light"/>
          <w:sz w:val="22"/>
          <w:szCs w:val="22"/>
        </w:rPr>
      </w:pPr>
      <w:r w:rsidRPr="00C16208">
        <w:rPr>
          <w:rFonts w:ascii="Apercu Light" w:hAnsi="Apercu Light"/>
          <w:sz w:val="22"/>
          <w:szCs w:val="22"/>
        </w:rPr>
        <w:t>10. Questions and Further Information</w:t>
      </w:r>
    </w:p>
    <w:p w14:paraId="5B80E7BC" w14:textId="062819E7" w:rsidR="006A7F35" w:rsidRPr="00C16208" w:rsidRDefault="00EB0017">
      <w:pPr>
        <w:spacing w:before="80" w:after="80"/>
        <w:jc w:val="both"/>
        <w:rPr>
          <w:rFonts w:ascii="Apercu Light" w:hAnsi="Apercu Light"/>
        </w:rPr>
      </w:pPr>
      <w:r w:rsidRPr="00C16208">
        <w:rPr>
          <w:rFonts w:ascii="Apercu Light" w:hAnsi="Apercu Light"/>
          <w:color w:val="000000"/>
        </w:rPr>
        <w:t>We are happy to speak with prospective respondents before they submit an expression of interest</w:t>
      </w:r>
      <w:r w:rsidR="000A310C">
        <w:rPr>
          <w:rFonts w:ascii="Apercu Light" w:hAnsi="Apercu Light"/>
          <w:color w:val="000000"/>
        </w:rPr>
        <w:t xml:space="preserve"> where feasible</w:t>
      </w:r>
      <w:r w:rsidRPr="00C16208">
        <w:rPr>
          <w:rFonts w:ascii="Apercu Light" w:hAnsi="Apercu Light"/>
          <w:color w:val="000000"/>
        </w:rPr>
        <w:t xml:space="preserve">. </w:t>
      </w:r>
      <w:r w:rsidR="000A310C">
        <w:rPr>
          <w:rFonts w:ascii="Apercu Light" w:hAnsi="Apercu Light"/>
        </w:rPr>
        <w:t xml:space="preserve"> </w:t>
      </w:r>
      <w:r w:rsidRPr="00C16208">
        <w:rPr>
          <w:rFonts w:ascii="Apercu Light" w:hAnsi="Apercu Light"/>
          <w:color w:val="000000"/>
        </w:rPr>
        <w:t>To arrange an informal conversation or to ask any questions about this invitation, please contact:</w:t>
      </w:r>
      <w:r w:rsidR="006C08DB" w:rsidRPr="00C16208">
        <w:rPr>
          <w:rFonts w:ascii="Apercu Light" w:hAnsi="Apercu Light"/>
          <w:color w:val="000000"/>
        </w:rPr>
        <w:t xml:space="preserve"> Laurie Oli</w:t>
      </w:r>
      <w:r w:rsidR="001164E7">
        <w:rPr>
          <w:rFonts w:ascii="Apercu Light" w:hAnsi="Apercu Light"/>
          <w:color w:val="000000"/>
        </w:rPr>
        <w:t>v</w:t>
      </w:r>
      <w:r w:rsidR="006C08DB" w:rsidRPr="00C16208">
        <w:rPr>
          <w:rFonts w:ascii="Apercu Light" w:hAnsi="Apercu Light"/>
          <w:color w:val="000000"/>
        </w:rPr>
        <w:t>a, Director of Services and Research: laurie.oliva@helpmusicians.org.uk</w:t>
      </w:r>
    </w:p>
    <w:p w14:paraId="7B470D15" w14:textId="77777777" w:rsidR="006A7F35" w:rsidRPr="00C16208" w:rsidRDefault="006A7F35">
      <w:pPr>
        <w:spacing w:before="40" w:after="20"/>
        <w:rPr>
          <w:rFonts w:ascii="Apercu Light" w:hAnsi="Apercu Light"/>
        </w:rPr>
      </w:pPr>
    </w:p>
    <w:p w14:paraId="3195832D" w14:textId="5CC59764" w:rsidR="006A7F35" w:rsidRPr="00C16208" w:rsidRDefault="00EB0017" w:rsidP="006C08DB">
      <w:pPr>
        <w:spacing w:before="80" w:after="80"/>
        <w:jc w:val="both"/>
        <w:rPr>
          <w:rFonts w:ascii="Apercu Light" w:hAnsi="Apercu Light"/>
        </w:rPr>
      </w:pPr>
      <w:r w:rsidRPr="00C16208">
        <w:rPr>
          <w:rFonts w:ascii="Apercu Light" w:hAnsi="Apercu Light"/>
          <w:color w:val="000000"/>
        </w:rPr>
        <w:lastRenderedPageBreak/>
        <w:t>Music Minds Matter is committed to a fair and open process. We will treat all expressions of interest equally regardless of whether they come from organisations or individuals, and we will not favour either model in principle — our decision will be based on the quality of fit to the brief</w:t>
      </w:r>
      <w:r w:rsidR="000E6DD8">
        <w:rPr>
          <w:rFonts w:ascii="Apercu Light" w:hAnsi="Apercu Light"/>
          <w:color w:val="000000"/>
        </w:rPr>
        <w:t xml:space="preserve">, affordability and overall </w:t>
      </w:r>
      <w:r w:rsidR="00DE4982">
        <w:rPr>
          <w:rFonts w:ascii="Apercu Light" w:hAnsi="Apercu Light"/>
          <w:color w:val="000000"/>
        </w:rPr>
        <w:t>value that the proposal can offer to Music Minds Matter</w:t>
      </w:r>
      <w:r w:rsidRPr="00C16208">
        <w:rPr>
          <w:rFonts w:ascii="Apercu Light" w:hAnsi="Apercu Light"/>
          <w:color w:val="000000"/>
        </w:rPr>
        <w:t>.</w:t>
      </w:r>
    </w:p>
    <w:sectPr w:rsidR="006A7F35" w:rsidRPr="00C16208" w:rsidSect="00911751">
      <w:headerReference w:type="default" r:id="rId11"/>
      <w:footerReference w:type="default" r:id="rId12"/>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C2C6" w14:textId="77777777" w:rsidR="00F7515A" w:rsidRDefault="00F7515A">
      <w:r>
        <w:separator/>
      </w:r>
    </w:p>
  </w:endnote>
  <w:endnote w:type="continuationSeparator" w:id="0">
    <w:p w14:paraId="01192086" w14:textId="77777777" w:rsidR="00F7515A" w:rsidRDefault="00F7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ercu">
    <w:altName w:val="Segoe UI Historic"/>
    <w:panose1 w:val="020B0803050601040103"/>
    <w:charset w:val="00"/>
    <w:family w:val="swiss"/>
    <w:notTrueType/>
    <w:pitch w:val="variable"/>
    <w:sig w:usb0="00000147" w:usb1="00000000" w:usb2="00000000" w:usb3="00000000" w:csb0="00000013" w:csb1="00000000"/>
  </w:font>
  <w:font w:name="Apercu Light">
    <w:panose1 w:val="020B0303050601040103"/>
    <w:charset w:val="00"/>
    <w:family w:val="swiss"/>
    <w:notTrueType/>
    <w:pitch w:val="variable"/>
    <w:sig w:usb0="0000014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A8A8" w14:textId="7C0A3689" w:rsidR="006A7F35" w:rsidRPr="00C16208" w:rsidRDefault="00EB0017">
    <w:pPr>
      <w:jc w:val="center"/>
      <w:rPr>
        <w:rFonts w:ascii="Apercu Light" w:hAnsi="Apercu Light"/>
      </w:rPr>
    </w:pPr>
    <w:r w:rsidRPr="00C16208">
      <w:rPr>
        <w:rFonts w:ascii="Apercu Light" w:hAnsi="Apercu Light"/>
        <w:color w:val="000000"/>
        <w:sz w:val="18"/>
        <w:szCs w:val="18"/>
      </w:rPr>
      <w:t xml:space="preserve">Page </w:t>
    </w:r>
    <w:r w:rsidRPr="00C16208">
      <w:rPr>
        <w:rFonts w:ascii="Apercu Light" w:hAnsi="Apercu Light"/>
        <w:color w:val="000000"/>
        <w:sz w:val="18"/>
        <w:szCs w:val="18"/>
      </w:rPr>
      <w:fldChar w:fldCharType="begin"/>
    </w:r>
    <w:r w:rsidRPr="00C16208">
      <w:rPr>
        <w:rFonts w:ascii="Apercu Light" w:hAnsi="Apercu Light"/>
        <w:color w:val="000000"/>
        <w:sz w:val="18"/>
        <w:szCs w:val="18"/>
      </w:rPr>
      <w:instrText>PAGE</w:instrText>
    </w:r>
    <w:r w:rsidRPr="00C16208">
      <w:rPr>
        <w:rFonts w:ascii="Apercu Light" w:hAnsi="Apercu Light"/>
        <w:color w:val="000000"/>
        <w:sz w:val="18"/>
        <w:szCs w:val="18"/>
      </w:rPr>
      <w:fldChar w:fldCharType="separate"/>
    </w:r>
    <w:r w:rsidR="00911751" w:rsidRPr="00C16208">
      <w:rPr>
        <w:rFonts w:ascii="Apercu Light" w:hAnsi="Apercu Light"/>
        <w:noProof/>
        <w:color w:val="000000"/>
        <w:sz w:val="18"/>
        <w:szCs w:val="18"/>
      </w:rPr>
      <w:t>1</w:t>
    </w:r>
    <w:r w:rsidRPr="00C16208">
      <w:rPr>
        <w:rFonts w:ascii="Apercu Light" w:hAnsi="Apercu Light"/>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0289" w14:textId="77777777" w:rsidR="00F7515A" w:rsidRDefault="00F7515A">
      <w:r>
        <w:separator/>
      </w:r>
    </w:p>
  </w:footnote>
  <w:footnote w:type="continuationSeparator" w:id="0">
    <w:p w14:paraId="5D2B9796" w14:textId="77777777" w:rsidR="00F7515A" w:rsidRDefault="00F7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8B3" w14:textId="2A02AC44" w:rsidR="00C16208" w:rsidRDefault="00744FA1" w:rsidP="00744FA1">
    <w:pPr>
      <w:pStyle w:val="Header"/>
      <w:jc w:val="right"/>
    </w:pPr>
    <w:r>
      <w:rPr>
        <w:noProof/>
      </w:rPr>
      <w:drawing>
        <wp:inline distT="0" distB="0" distL="0" distR="0" wp14:anchorId="43976619" wp14:editId="743BECDB">
          <wp:extent cx="914400" cy="558165"/>
          <wp:effectExtent l="0" t="0" r="0" b="0"/>
          <wp:docPr id="119595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58436" name="Picture 1195958436"/>
                  <pic:cNvPicPr/>
                </pic:nvPicPr>
                <pic:blipFill>
                  <a:blip r:embed="rId1">
                    <a:extLst>
                      <a:ext uri="{28A0092B-C50C-407E-A947-70E740481C1C}">
                        <a14:useLocalDpi xmlns:a14="http://schemas.microsoft.com/office/drawing/2010/main" val="0"/>
                      </a:ext>
                    </a:extLst>
                  </a:blip>
                  <a:stretch>
                    <a:fillRect/>
                  </a:stretch>
                </pic:blipFill>
                <pic:spPr>
                  <a:xfrm>
                    <a:off x="0" y="0"/>
                    <a:ext cx="921983" cy="562794"/>
                  </a:xfrm>
                  <a:prstGeom prst="rect">
                    <a:avLst/>
                  </a:prstGeom>
                </pic:spPr>
              </pic:pic>
            </a:graphicData>
          </a:graphic>
        </wp:inline>
      </w:drawing>
    </w:r>
  </w:p>
  <w:p w14:paraId="683550B0" w14:textId="77777777" w:rsidR="00C16208" w:rsidRDefault="00C16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D05"/>
    <w:multiLevelType w:val="hybridMultilevel"/>
    <w:tmpl w:val="36AE2966"/>
    <w:lvl w:ilvl="0" w:tplc="561A8F80">
      <w:start w:val="8"/>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9712B88"/>
    <w:multiLevelType w:val="hybridMultilevel"/>
    <w:tmpl w:val="9B520D0C"/>
    <w:lvl w:ilvl="0" w:tplc="E950500A">
      <w:start w:val="1"/>
      <w:numFmt w:val="bullet"/>
      <w:lvlText w:val="●"/>
      <w:lvlJc w:val="left"/>
      <w:pPr>
        <w:ind w:left="720" w:hanging="360"/>
      </w:pPr>
    </w:lvl>
    <w:lvl w:ilvl="1" w:tplc="F97CB546">
      <w:start w:val="1"/>
      <w:numFmt w:val="bullet"/>
      <w:lvlText w:val="○"/>
      <w:lvlJc w:val="left"/>
      <w:pPr>
        <w:ind w:left="1440" w:hanging="360"/>
      </w:pPr>
    </w:lvl>
    <w:lvl w:ilvl="2" w:tplc="D346B940">
      <w:start w:val="1"/>
      <w:numFmt w:val="bullet"/>
      <w:lvlText w:val="■"/>
      <w:lvlJc w:val="left"/>
      <w:pPr>
        <w:ind w:left="2160" w:hanging="360"/>
      </w:pPr>
    </w:lvl>
    <w:lvl w:ilvl="3" w:tplc="68E80C4E">
      <w:start w:val="1"/>
      <w:numFmt w:val="bullet"/>
      <w:lvlText w:val="●"/>
      <w:lvlJc w:val="left"/>
      <w:pPr>
        <w:ind w:left="2880" w:hanging="360"/>
      </w:pPr>
    </w:lvl>
    <w:lvl w:ilvl="4" w:tplc="6D5A7E06">
      <w:start w:val="1"/>
      <w:numFmt w:val="bullet"/>
      <w:lvlText w:val="○"/>
      <w:lvlJc w:val="left"/>
      <w:pPr>
        <w:ind w:left="3600" w:hanging="360"/>
      </w:pPr>
    </w:lvl>
    <w:lvl w:ilvl="5" w:tplc="35F428DC">
      <w:start w:val="1"/>
      <w:numFmt w:val="bullet"/>
      <w:lvlText w:val="■"/>
      <w:lvlJc w:val="left"/>
      <w:pPr>
        <w:ind w:left="4320" w:hanging="360"/>
      </w:pPr>
    </w:lvl>
    <w:lvl w:ilvl="6" w:tplc="EC541090">
      <w:start w:val="1"/>
      <w:numFmt w:val="bullet"/>
      <w:lvlText w:val="●"/>
      <w:lvlJc w:val="left"/>
      <w:pPr>
        <w:ind w:left="5040" w:hanging="360"/>
      </w:pPr>
    </w:lvl>
    <w:lvl w:ilvl="7" w:tplc="A6C8C2F4">
      <w:start w:val="1"/>
      <w:numFmt w:val="bullet"/>
      <w:lvlText w:val="●"/>
      <w:lvlJc w:val="left"/>
      <w:pPr>
        <w:ind w:left="5760" w:hanging="360"/>
      </w:pPr>
    </w:lvl>
    <w:lvl w:ilvl="8" w:tplc="B65A328C">
      <w:start w:val="1"/>
      <w:numFmt w:val="bullet"/>
      <w:lvlText w:val="●"/>
      <w:lvlJc w:val="left"/>
      <w:pPr>
        <w:ind w:left="6480" w:hanging="360"/>
      </w:pPr>
    </w:lvl>
  </w:abstractNum>
  <w:abstractNum w:abstractNumId="2" w15:restartNumberingAfterBreak="0">
    <w:nsid w:val="5D350EC3"/>
    <w:multiLevelType w:val="hybridMultilevel"/>
    <w:tmpl w:val="C49AC6D0"/>
    <w:lvl w:ilvl="0" w:tplc="08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9D08DF"/>
    <w:multiLevelType w:val="hybridMultilevel"/>
    <w:tmpl w:val="75280C7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D96684A"/>
    <w:multiLevelType w:val="hybridMultilevel"/>
    <w:tmpl w:val="63D8F19A"/>
    <w:lvl w:ilvl="0" w:tplc="40A8F888">
      <w:start w:val="1"/>
      <w:numFmt w:val="decimal"/>
      <w:lvlText w:val="%1."/>
      <w:lvlJc w:val="left"/>
      <w:pPr>
        <w:ind w:left="720" w:hanging="360"/>
      </w:pPr>
      <w:rPr>
        <w:rFonts w:ascii="Arial" w:eastAsia="Arial" w:hAnsi="Arial" w:cs="Arial"/>
      </w:rPr>
    </w:lvl>
    <w:lvl w:ilvl="1" w:tplc="0A98D5B4">
      <w:numFmt w:val="decimal"/>
      <w:lvlText w:val=""/>
      <w:lvlJc w:val="left"/>
    </w:lvl>
    <w:lvl w:ilvl="2" w:tplc="0DEC90F2">
      <w:numFmt w:val="decimal"/>
      <w:lvlText w:val=""/>
      <w:lvlJc w:val="left"/>
    </w:lvl>
    <w:lvl w:ilvl="3" w:tplc="F81AC162">
      <w:numFmt w:val="decimal"/>
      <w:lvlText w:val=""/>
      <w:lvlJc w:val="left"/>
    </w:lvl>
    <w:lvl w:ilvl="4" w:tplc="47CE2232">
      <w:numFmt w:val="decimal"/>
      <w:lvlText w:val=""/>
      <w:lvlJc w:val="left"/>
    </w:lvl>
    <w:lvl w:ilvl="5" w:tplc="304EA76E">
      <w:numFmt w:val="decimal"/>
      <w:lvlText w:val=""/>
      <w:lvlJc w:val="left"/>
    </w:lvl>
    <w:lvl w:ilvl="6" w:tplc="B3B0081C">
      <w:numFmt w:val="decimal"/>
      <w:lvlText w:val=""/>
      <w:lvlJc w:val="left"/>
    </w:lvl>
    <w:lvl w:ilvl="7" w:tplc="7FB23808">
      <w:numFmt w:val="decimal"/>
      <w:lvlText w:val=""/>
      <w:lvlJc w:val="left"/>
    </w:lvl>
    <w:lvl w:ilvl="8" w:tplc="F5FAFA0C">
      <w:numFmt w:val="decimal"/>
      <w:lvlText w:val=""/>
      <w:lvlJc w:val="left"/>
    </w:lvl>
  </w:abstractNum>
  <w:abstractNum w:abstractNumId="5" w15:restartNumberingAfterBreak="0">
    <w:nsid w:val="6FA42370"/>
    <w:multiLevelType w:val="hybridMultilevel"/>
    <w:tmpl w:val="790EA266"/>
    <w:lvl w:ilvl="0" w:tplc="C354E2AA">
      <w:start w:val="1"/>
      <w:numFmt w:val="bullet"/>
      <w:lvlText w:val="•"/>
      <w:lvlJc w:val="left"/>
      <w:pPr>
        <w:ind w:left="720" w:hanging="360"/>
      </w:pPr>
      <w:rPr>
        <w:rFonts w:ascii="Arial" w:eastAsia="Arial" w:hAnsi="Arial" w:cs="Arial"/>
      </w:rPr>
    </w:lvl>
    <w:lvl w:ilvl="1" w:tplc="36A8281E">
      <w:numFmt w:val="decimal"/>
      <w:lvlText w:val=""/>
      <w:lvlJc w:val="left"/>
    </w:lvl>
    <w:lvl w:ilvl="2" w:tplc="787A7AC8">
      <w:numFmt w:val="decimal"/>
      <w:lvlText w:val=""/>
      <w:lvlJc w:val="left"/>
    </w:lvl>
    <w:lvl w:ilvl="3" w:tplc="B8960CA0">
      <w:numFmt w:val="decimal"/>
      <w:lvlText w:val=""/>
      <w:lvlJc w:val="left"/>
    </w:lvl>
    <w:lvl w:ilvl="4" w:tplc="C9FEA3CA">
      <w:numFmt w:val="decimal"/>
      <w:lvlText w:val=""/>
      <w:lvlJc w:val="left"/>
    </w:lvl>
    <w:lvl w:ilvl="5" w:tplc="EE500388">
      <w:numFmt w:val="decimal"/>
      <w:lvlText w:val=""/>
      <w:lvlJc w:val="left"/>
    </w:lvl>
    <w:lvl w:ilvl="6" w:tplc="D762425A">
      <w:numFmt w:val="decimal"/>
      <w:lvlText w:val=""/>
      <w:lvlJc w:val="left"/>
    </w:lvl>
    <w:lvl w:ilvl="7" w:tplc="F7DC509A">
      <w:numFmt w:val="decimal"/>
      <w:lvlText w:val=""/>
      <w:lvlJc w:val="left"/>
    </w:lvl>
    <w:lvl w:ilvl="8" w:tplc="8D6E1806">
      <w:numFmt w:val="decimal"/>
      <w:lvlText w:val=""/>
      <w:lvlJc w:val="left"/>
    </w:lvl>
  </w:abstractNum>
  <w:abstractNum w:abstractNumId="6" w15:restartNumberingAfterBreak="0">
    <w:nsid w:val="77C64409"/>
    <w:multiLevelType w:val="hybridMultilevel"/>
    <w:tmpl w:val="BB846164"/>
    <w:lvl w:ilvl="0" w:tplc="561A8F80">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157698">
    <w:abstractNumId w:val="1"/>
    <w:lvlOverride w:ilvl="0">
      <w:startOverride w:val="1"/>
    </w:lvlOverride>
  </w:num>
  <w:num w:numId="2" w16cid:durableId="2087729039">
    <w:abstractNumId w:val="4"/>
    <w:lvlOverride w:ilvl="0">
      <w:startOverride w:val="1"/>
    </w:lvlOverride>
  </w:num>
  <w:num w:numId="3" w16cid:durableId="1900238375">
    <w:abstractNumId w:val="5"/>
    <w:lvlOverride w:ilvl="0">
      <w:startOverride w:val="1"/>
    </w:lvlOverride>
  </w:num>
  <w:num w:numId="4" w16cid:durableId="1605383061">
    <w:abstractNumId w:val="6"/>
  </w:num>
  <w:num w:numId="5" w16cid:durableId="774983562">
    <w:abstractNumId w:val="0"/>
  </w:num>
  <w:num w:numId="6" w16cid:durableId="1949041037">
    <w:abstractNumId w:val="3"/>
  </w:num>
  <w:num w:numId="7" w16cid:durableId="131018491">
    <w:abstractNumId w:val="5"/>
  </w:num>
  <w:num w:numId="8" w16cid:durableId="84419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35"/>
    <w:rsid w:val="000A310C"/>
    <w:rsid w:val="000E6DD8"/>
    <w:rsid w:val="00114E2C"/>
    <w:rsid w:val="001164E7"/>
    <w:rsid w:val="00213B0A"/>
    <w:rsid w:val="002E525F"/>
    <w:rsid w:val="00336B2C"/>
    <w:rsid w:val="004828EF"/>
    <w:rsid w:val="0048639F"/>
    <w:rsid w:val="00504C31"/>
    <w:rsid w:val="00553C57"/>
    <w:rsid w:val="00676C3B"/>
    <w:rsid w:val="006A7F35"/>
    <w:rsid w:val="006C08DB"/>
    <w:rsid w:val="00744FA1"/>
    <w:rsid w:val="00783F3B"/>
    <w:rsid w:val="008441EC"/>
    <w:rsid w:val="00911751"/>
    <w:rsid w:val="00AC722C"/>
    <w:rsid w:val="00C16208"/>
    <w:rsid w:val="00DE4982"/>
    <w:rsid w:val="00E67932"/>
    <w:rsid w:val="00EB0017"/>
    <w:rsid w:val="00F7515A"/>
    <w:rsid w:val="00FA43E6"/>
    <w:rsid w:val="00FC6D3B"/>
    <w:rsid w:val="1C40B06D"/>
    <w:rsid w:val="52B8D289"/>
    <w:rsid w:val="6E0A29B4"/>
    <w:rsid w:val="78203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5A4A"/>
  <w15:docId w15:val="{3384365A-5180-094E-B2BD-C3F0998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20"/>
      <w:outlineLvl w:val="0"/>
    </w:pPr>
    <w:rPr>
      <w:b/>
      <w:bCs/>
      <w:color w:val="000000"/>
      <w:sz w:val="24"/>
      <w:szCs w:val="24"/>
    </w:rPr>
  </w:style>
  <w:style w:type="paragraph" w:styleId="Heading2">
    <w:name w:val="heading 2"/>
    <w:uiPriority w:val="9"/>
    <w:unhideWhenUsed/>
    <w:qFormat/>
    <w:pPr>
      <w:spacing w:before="280" w:after="80"/>
      <w:outlineLvl w:val="1"/>
    </w:pPr>
    <w:rPr>
      <w:b/>
      <w:bCs/>
      <w:color w:val="000000"/>
      <w:sz w:val="24"/>
      <w:szCs w:val="24"/>
    </w:rPr>
  </w:style>
  <w:style w:type="paragraph" w:styleId="Heading3">
    <w:name w:val="heading 3"/>
    <w:uiPriority w:val="9"/>
    <w:unhideWhenUsed/>
    <w:qFormat/>
    <w:pPr>
      <w:spacing w:before="200" w:after="6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11751"/>
    <w:pPr>
      <w:tabs>
        <w:tab w:val="center" w:pos="4513"/>
        <w:tab w:val="right" w:pos="9026"/>
      </w:tabs>
    </w:pPr>
  </w:style>
  <w:style w:type="character" w:customStyle="1" w:styleId="HeaderChar">
    <w:name w:val="Header Char"/>
    <w:basedOn w:val="DefaultParagraphFont"/>
    <w:link w:val="Header"/>
    <w:uiPriority w:val="99"/>
    <w:rsid w:val="00911751"/>
  </w:style>
  <w:style w:type="paragraph" w:styleId="Footer">
    <w:name w:val="footer"/>
    <w:basedOn w:val="Normal"/>
    <w:link w:val="FooterChar"/>
    <w:uiPriority w:val="99"/>
    <w:unhideWhenUsed/>
    <w:rsid w:val="00911751"/>
    <w:pPr>
      <w:tabs>
        <w:tab w:val="center" w:pos="4513"/>
        <w:tab w:val="right" w:pos="9026"/>
      </w:tabs>
    </w:pPr>
  </w:style>
  <w:style w:type="character" w:customStyle="1" w:styleId="FooterChar">
    <w:name w:val="Footer Char"/>
    <w:basedOn w:val="DefaultParagraphFont"/>
    <w:link w:val="Footer"/>
    <w:uiPriority w:val="99"/>
    <w:rsid w:val="00911751"/>
  </w:style>
  <w:style w:type="character" w:styleId="UnresolvedMention">
    <w:name w:val="Unresolved Mention"/>
    <w:basedOn w:val="DefaultParagraphFont"/>
    <w:uiPriority w:val="99"/>
    <w:semiHidden/>
    <w:unhideWhenUsed/>
    <w:rsid w:val="00911751"/>
    <w:rPr>
      <w:color w:val="605E5C"/>
      <w:shd w:val="clear" w:color="auto" w:fill="E1DFDD"/>
    </w:rPr>
  </w:style>
  <w:style w:type="table" w:styleId="TableGrid">
    <w:name w:val="Table Grid"/>
    <w:basedOn w:val="TableNormal"/>
    <w:uiPriority w:val="39"/>
    <w:rsid w:val="006C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usicmindsmatt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156AB-1067-48AF-98DD-FBBEA965461F}">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customXml/itemProps2.xml><?xml version="1.0" encoding="utf-8"?>
<ds:datastoreItem xmlns:ds="http://schemas.openxmlformats.org/officeDocument/2006/customXml" ds:itemID="{6DE9FF3E-1692-4D54-BC6B-7818C89BDCC2}">
  <ds:schemaRefs>
    <ds:schemaRef ds:uri="http://schemas.microsoft.com/sharepoint/v3/contenttype/forms"/>
  </ds:schemaRefs>
</ds:datastoreItem>
</file>

<file path=customXml/itemProps3.xml><?xml version="1.0" encoding="utf-8"?>
<ds:datastoreItem xmlns:ds="http://schemas.openxmlformats.org/officeDocument/2006/customXml" ds:itemID="{C50967CC-64DB-4348-85B2-76076896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faac-962e-40cb-a1ad-075162d1aef3"/>
    <ds:schemaRef ds:uri="31871172-abb7-41d3-8a34-4933076dc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3781</Words>
  <Characters>21863</Characters>
  <Application>Microsoft Office Word</Application>
  <DocSecurity>0</DocSecurity>
  <Lines>427</Lines>
  <Paragraphs>160</Paragraphs>
  <ScaleCrop>false</ScaleCrop>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Sophie Williamson</cp:lastModifiedBy>
  <cp:revision>14</cp:revision>
  <dcterms:created xsi:type="dcterms:W3CDTF">2026-05-29T10:42:00Z</dcterms:created>
  <dcterms:modified xsi:type="dcterms:W3CDTF">2026-06-05T10:20:00Z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